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48FD9">
      <w:pPr>
        <w:pStyle w:val="31"/>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28"/>
          <w:szCs w:val="28"/>
        </w:rPr>
      </w:pPr>
      <w:r>
        <w:rPr>
          <w:rFonts w:hint="eastAsia" w:ascii="Malgun Gothic" w:hAnsi="Malgun Gothic" w:eastAsia="Malgun Gothic" w:cs="Malgun Gothic"/>
          <w:sz w:val="28"/>
          <w:szCs w:val="28"/>
        </w:rPr>
        <w:t>11주차 산출물: 결과·분석 안</w:t>
      </w:r>
    </w:p>
    <w:p w14:paraId="7543BAE3">
      <w:pPr>
        <w:rPr>
          <w:rFonts w:hint="eastAsia"/>
        </w:rPr>
      </w:pPr>
    </w:p>
    <w:p w14:paraId="5211D921">
      <w:pPr>
        <w:rPr>
          <w:rFonts w:hint="eastAsia"/>
        </w:rPr>
      </w:pPr>
    </w:p>
    <w:p w14:paraId="49A69332">
      <w:pPr>
        <w:rPr>
          <w:rFonts w:hint="eastAsia"/>
        </w:rPr>
      </w:pPr>
    </w:p>
    <w:p w14:paraId="0DD4A5A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32"/>
          <w:szCs w:val="32"/>
        </w:rPr>
      </w:pPr>
      <w:r>
        <w:rPr>
          <w:rFonts w:hint="eastAsia" w:ascii="Malgun Gothic" w:hAnsi="Malgun Gothic" w:eastAsia="Malgun Gothic" w:cs="Malgun Gothic"/>
          <w:sz w:val="32"/>
          <w:szCs w:val="32"/>
        </w:rPr>
        <w:t>결과</w:t>
      </w:r>
      <w:r>
        <w:rPr>
          <w:rFonts w:hint="eastAsia" w:ascii="Malgun Gothic" w:hAnsi="Malgun Gothic" w:eastAsia="Malgun Gothic" w:cs="Malgun Gothic"/>
          <w:sz w:val="32"/>
          <w:szCs w:val="32"/>
          <w:lang w:val="en-US" w:eastAsia="zh-CN"/>
        </w:rPr>
        <w:t xml:space="preserve"> </w:t>
      </w:r>
      <w:r>
        <w:rPr>
          <w:rFonts w:hint="eastAsia" w:ascii="Malgun Gothic" w:hAnsi="Malgun Gothic" w:eastAsia="Malgun Gothic" w:cs="Malgun Gothic"/>
          <w:sz w:val="32"/>
          <w:szCs w:val="32"/>
        </w:rPr>
        <w:t>분석 안</w:t>
      </w:r>
    </w:p>
    <w:p w14:paraId="501034F6">
      <w:pPr>
        <w:jc w:val="center"/>
        <w:rPr>
          <w:rFonts w:ascii="微软雅黑" w:hAnsi="微软雅黑" w:eastAsia="微软雅黑"/>
          <w:b/>
          <w:sz w:val="21"/>
        </w:rPr>
      </w:pPr>
    </w:p>
    <w:p w14:paraId="71BE2F91">
      <w:pPr>
        <w:jc w:val="center"/>
        <w:rPr>
          <w:rFonts w:ascii="微软雅黑" w:hAnsi="微软雅黑" w:eastAsia="微软雅黑"/>
          <w:b/>
          <w:sz w:val="21"/>
        </w:rPr>
      </w:pPr>
    </w:p>
    <w:p w14:paraId="72991EF3">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jc w:val="center"/>
        <w:textAlignment w:val="auto"/>
        <w:rPr>
          <w:rFonts w:hint="eastAsia" w:ascii="Malgun Gothic" w:hAnsi="Malgun Gothic" w:eastAsia="Malgun Gothic" w:cs="Malgun Gothic"/>
          <w:b/>
          <w:bCs/>
          <w:sz w:val="24"/>
          <w:szCs w:val="24"/>
        </w:rPr>
      </w:pPr>
      <w:r>
        <w:rPr>
          <w:rFonts w:hint="eastAsia" w:ascii="Malgun Gothic" w:hAnsi="Malgun Gothic" w:eastAsia="Malgun Gothic" w:cs="Malgun Gothic"/>
          <w:b/>
          <w:bCs/>
          <w:sz w:val="24"/>
          <w:szCs w:val="24"/>
        </w:rPr>
        <w:t>论文题目 / 논문 제목: 基于人工智能的智能合约项目自动化恶意检测技术</w:t>
      </w:r>
    </w:p>
    <w:p w14:paraId="4184761F">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jc w:val="center"/>
        <w:textAlignment w:val="auto"/>
        <w:rPr>
          <w:rFonts w:hint="eastAsia" w:ascii="Malgun Gothic" w:hAnsi="Malgun Gothic" w:eastAsia="Malgun Gothic" w:cs="Malgun Gothic"/>
          <w:b/>
          <w:sz w:val="24"/>
          <w:szCs w:val="24"/>
        </w:rPr>
      </w:pPr>
      <w:r>
        <w:rPr>
          <w:rFonts w:hint="eastAsia" w:ascii="Malgun Gothic" w:hAnsi="Malgun Gothic" w:eastAsia="Malgun Gothic" w:cs="Malgun Gothic"/>
          <w:b/>
          <w:sz w:val="24"/>
          <w:szCs w:val="24"/>
        </w:rPr>
        <w:t>인공지능 기반 스마트 계약 프로젝트 자동화 악성 탐지 기술</w:t>
      </w:r>
    </w:p>
    <w:p w14:paraId="0D96A7A9">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jc w:val="center"/>
        <w:textAlignment w:val="auto"/>
        <w:rPr>
          <w:rFonts w:hint="eastAsia" w:ascii="Malgun Gothic" w:hAnsi="Malgun Gothic" w:eastAsia="Malgun Gothic" w:cs="Malgun Gothic"/>
          <w:b/>
          <w:sz w:val="24"/>
          <w:szCs w:val="24"/>
        </w:rPr>
      </w:pPr>
    </w:p>
    <w:p w14:paraId="3D0C3527">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jc w:val="center"/>
        <w:textAlignment w:val="auto"/>
        <w:rPr>
          <w:rFonts w:hint="eastAsia" w:ascii="Malgun Gothic" w:hAnsi="Malgun Gothic" w:eastAsia="Malgun Gothic" w:cs="Malgun Gothic"/>
          <w:b/>
          <w:sz w:val="24"/>
          <w:szCs w:val="24"/>
        </w:rPr>
      </w:pPr>
    </w:p>
    <w:p w14:paraId="4CCFF4F9">
      <w:pPr>
        <w:keepNext w:val="0"/>
        <w:keepLines w:val="0"/>
        <w:pageBreakBefore w:val="0"/>
        <w:widowControl/>
        <w:kinsoku/>
        <w:wordWrap/>
        <w:overflowPunct/>
        <w:topLinePunct w:val="0"/>
        <w:autoSpaceDE/>
        <w:autoSpaceDN/>
        <w:bidi w:val="0"/>
        <w:adjustRightInd/>
        <w:snapToGrid/>
        <w:spacing w:after="0" w:line="480" w:lineRule="auto"/>
        <w:ind w:firstLine="3640" w:firstLineChars="1300"/>
        <w:jc w:val="both"/>
        <w:textAlignment w:val="auto"/>
        <w:rPr>
          <w:rFonts w:hint="default" w:asciiTheme="minorEastAsia" w:hAnsiTheme="minorEastAsia" w:cstheme="minorEastAsia"/>
          <w:sz w:val="28"/>
          <w:szCs w:val="28"/>
        </w:rPr>
      </w:pPr>
      <w:r>
        <w:rPr>
          <w:rFonts w:hint="default" w:asciiTheme="minorEastAsia" w:hAnsiTheme="minorEastAsia" w:cstheme="minorEastAsia"/>
          <w:sz w:val="28"/>
          <w:szCs w:val="28"/>
        </w:rPr>
        <w:t>姓名：천희</w:t>
      </w:r>
    </w:p>
    <w:p w14:paraId="0CF351DD">
      <w:pPr>
        <w:keepNext w:val="0"/>
        <w:keepLines w:val="0"/>
        <w:pageBreakBefore w:val="0"/>
        <w:widowControl/>
        <w:kinsoku/>
        <w:wordWrap/>
        <w:overflowPunct/>
        <w:topLinePunct w:val="0"/>
        <w:autoSpaceDE/>
        <w:autoSpaceDN/>
        <w:bidi w:val="0"/>
        <w:adjustRightInd/>
        <w:snapToGrid/>
        <w:spacing w:after="0" w:line="480" w:lineRule="auto"/>
        <w:ind w:firstLine="3640" w:firstLineChars="1300"/>
        <w:jc w:val="both"/>
        <w:textAlignment w:val="auto"/>
        <w:rPr>
          <w:rFonts w:hint="default" w:ascii="Times New Roman" w:hAnsi="Times New Roman" w:cs="Times New Roman"/>
          <w:sz w:val="28"/>
          <w:szCs w:val="28"/>
          <w:lang w:val="en-US" w:eastAsia="zh-CN"/>
        </w:rPr>
      </w:pPr>
      <w:r>
        <w:rPr>
          <w:rFonts w:hint="default" w:asciiTheme="minorEastAsia" w:hAnsiTheme="minorEastAsia" w:cstheme="minorEastAsia"/>
          <w:sz w:val="28"/>
          <w:szCs w:val="28"/>
        </w:rPr>
        <w:t>学号：</w:t>
      </w:r>
      <w:r>
        <w:rPr>
          <w:rFonts w:hint="default" w:ascii="Times New Roman" w:hAnsi="Times New Roman" w:cs="Times New Roman"/>
          <w:sz w:val="28"/>
          <w:szCs w:val="28"/>
          <w:lang w:val="en-US" w:eastAsia="zh-CN"/>
        </w:rPr>
        <w:t>50250336</w:t>
      </w:r>
    </w:p>
    <w:p w14:paraId="514D86CA">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jc w:val="both"/>
        <w:textAlignment w:val="auto"/>
      </w:pPr>
      <w:r>
        <w:br w:type="page"/>
      </w:r>
    </w:p>
    <w:p w14:paraId="1318C8F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eastAsia" w:ascii="Malgun Gothic" w:hAnsi="Malgun Gothic" w:eastAsia="Malgun Gothic" w:cs="Malgun Gothic"/>
          <w:b/>
          <w:bCs/>
          <w:sz w:val="21"/>
          <w:szCs w:val="21"/>
        </w:rPr>
      </w:pPr>
      <w:r>
        <w:rPr>
          <w:rFonts w:hint="eastAsia" w:ascii="Malgun Gothic" w:hAnsi="Malgun Gothic" w:eastAsia="Malgun Gothic" w:cs="Malgun Gothic"/>
          <w:b/>
          <w:bCs/>
          <w:sz w:val="21"/>
          <w:szCs w:val="21"/>
          <w:lang w:val="en-US" w:eastAsia="zh-CN"/>
        </w:rPr>
        <w:t>一、</w:t>
      </w:r>
      <w:r>
        <w:rPr>
          <w:rFonts w:hint="eastAsia" w:ascii="Malgun Gothic" w:hAnsi="Malgun Gothic" w:eastAsia="Malgun Gothic" w:cs="Malgun Gothic"/>
          <w:b/>
          <w:bCs/>
          <w:sz w:val="21"/>
          <w:szCs w:val="21"/>
        </w:rPr>
        <w:t xml:space="preserve">한국어 버전: 실험 결과 및 분석 </w:t>
      </w:r>
    </w:p>
    <w:p w14:paraId="336520FA">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Malgun Gothic" w:hAnsi="Malgun Gothic" w:eastAsia="Malgun Gothic" w:cs="Malgun Gothic"/>
          <w:sz w:val="21"/>
          <w:szCs w:val="21"/>
        </w:rPr>
      </w:pPr>
      <w:r>
        <w:rPr>
          <w:rFonts w:hint="eastAsia" w:ascii="Malgun Gothic" w:hAnsi="Malgun Gothic" w:eastAsia="Malgun Gothic" w:cs="Malgun Gothic"/>
          <w:sz w:val="21"/>
          <w:szCs w:val="21"/>
          <w:lang w:val="en-US" w:eastAsia="zh-CN"/>
        </w:rPr>
        <w:t>1.1</w:t>
      </w:r>
      <w:r>
        <w:rPr>
          <w:rFonts w:hint="eastAsia" w:ascii="Malgun Gothic" w:hAnsi="Malgun Gothic" w:eastAsia="Malgun Gothic" w:cs="Malgun Gothic"/>
          <w:sz w:val="21"/>
          <w:szCs w:val="21"/>
        </w:rPr>
        <w:t xml:space="preserve"> 결과 분석 목적과 논문 내용의 연결</w:t>
      </w:r>
    </w:p>
    <w:p w14:paraId="3F4BFEE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eastAsia" w:ascii="Malgun Gothic" w:hAnsi="Malgun Gothic" w:eastAsia="Malgun Gothic" w:cs="Malgun Gothic"/>
          <w:sz w:val="21"/>
          <w:szCs w:val="21"/>
        </w:rPr>
      </w:pPr>
      <w:r>
        <w:rPr>
          <w:rFonts w:hint="eastAsia" w:ascii="Malgun Gothic" w:hAnsi="Malgun Gothic" w:eastAsia="Malgun Gothic" w:cs="Malgun Gothic"/>
          <w:b w:val="0"/>
          <w:sz w:val="21"/>
          <w:szCs w:val="21"/>
        </w:rPr>
        <w:t>본 장은 논문 「인공지능 기반 스마트 계약 프로젝트 자동화 악성 탐지 기술」의 제3장 비즈니스 유사성 식별, 제4장 악성 거래 탐지, 제5장 AIB2PSec 원형 시스템의 결과를 통합하여 작성한 최종 결과·분석 안이다. 본 연구의 핵심은 “비즈니스 로직 추출–악성 거래 식별–프로젝트 수준 위험 경고” 흐름을 통해 스마트 계약 프로젝트 단위의 자동화 악성 탐지를 수행하는 것이다.</w:t>
      </w:r>
    </w:p>
    <w:p w14:paraId="4CA910D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AIB2PSec는 단일 계약의 소스코드 분석에 머무르지 않고, 실제 거래 실행 과정에서 나타나는 다중 계약 호출 구조와 거래 의미 정보를 함께 사용한다. 따라서 결과 분석은 GNN 기반 구조 분석, LLM 기반 의미 분석, 그리고 원형 시스템의 효율성 분석으로 구성된다.</w:t>
      </w:r>
    </w:p>
    <w:p w14:paraId="220D913D">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표1 논문 결과와 본 장 분석 범위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4"/>
        <w:gridCol w:w="2331"/>
        <w:gridCol w:w="3100"/>
        <w:gridCol w:w="3307"/>
      </w:tblGrid>
      <w:tr w14:paraId="4490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54" w:type="dxa"/>
            <w:shd w:val="clear" w:color="auto" w:fill="D9EAF7"/>
            <w:vAlign w:val="center"/>
          </w:tcPr>
          <w:p w14:paraId="05AE7E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sz w:val="15"/>
                <w:szCs w:val="15"/>
              </w:rPr>
              <w:t>분석 층위</w:t>
            </w:r>
          </w:p>
        </w:tc>
        <w:tc>
          <w:tcPr>
            <w:tcW w:w="2331" w:type="dxa"/>
            <w:shd w:val="clear" w:color="auto" w:fill="D9EAF7"/>
            <w:vAlign w:val="center"/>
          </w:tcPr>
          <w:p w14:paraId="673910C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sz w:val="15"/>
                <w:szCs w:val="15"/>
              </w:rPr>
              <w:t>논문 내용</w:t>
            </w:r>
          </w:p>
        </w:tc>
        <w:tc>
          <w:tcPr>
            <w:tcW w:w="3100" w:type="dxa"/>
            <w:shd w:val="clear" w:color="auto" w:fill="D9EAF7"/>
            <w:vAlign w:val="center"/>
          </w:tcPr>
          <w:p w14:paraId="391502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sz w:val="15"/>
                <w:szCs w:val="15"/>
              </w:rPr>
              <w:t>핵심 결과</w:t>
            </w:r>
          </w:p>
        </w:tc>
        <w:tc>
          <w:tcPr>
            <w:tcW w:w="3307" w:type="dxa"/>
            <w:shd w:val="clear" w:color="auto" w:fill="D9EAF7"/>
            <w:vAlign w:val="center"/>
          </w:tcPr>
          <w:p w14:paraId="6F1E042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sz w:val="15"/>
                <w:szCs w:val="15"/>
              </w:rPr>
              <w:t>분석 목적</w:t>
            </w:r>
          </w:p>
        </w:tc>
      </w:tr>
      <w:tr w14:paraId="718C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54" w:type="dxa"/>
            <w:vAlign w:val="center"/>
          </w:tcPr>
          <w:p w14:paraId="07CAF65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구조 분석</w:t>
            </w:r>
          </w:p>
        </w:tc>
        <w:tc>
          <w:tcPr>
            <w:tcW w:w="2331" w:type="dxa"/>
            <w:vAlign w:val="center"/>
          </w:tcPr>
          <w:p w14:paraId="5FF3FF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제3장 비즈니스 유사성 식별</w:t>
            </w:r>
          </w:p>
        </w:tc>
        <w:tc>
          <w:tcPr>
            <w:tcW w:w="3100" w:type="dxa"/>
            <w:vAlign w:val="center"/>
          </w:tcPr>
          <w:p w14:paraId="394D172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GCN 평균 F1=0.830</w:t>
            </w:r>
          </w:p>
        </w:tc>
        <w:tc>
          <w:tcPr>
            <w:tcW w:w="3307" w:type="dxa"/>
            <w:vAlign w:val="center"/>
          </w:tcPr>
          <w:p w14:paraId="22AA35E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비즈니스 주간선 그래프의 구조 표현력 검토</w:t>
            </w:r>
          </w:p>
        </w:tc>
      </w:tr>
      <w:tr w14:paraId="60F1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54" w:type="dxa"/>
            <w:vAlign w:val="center"/>
          </w:tcPr>
          <w:p w14:paraId="7810840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의미 분석</w:t>
            </w:r>
          </w:p>
        </w:tc>
        <w:tc>
          <w:tcPr>
            <w:tcW w:w="2331" w:type="dxa"/>
            <w:vAlign w:val="center"/>
          </w:tcPr>
          <w:p w14:paraId="658797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제4장 악성 거래 탐지</w:t>
            </w:r>
          </w:p>
        </w:tc>
        <w:tc>
          <w:tcPr>
            <w:tcW w:w="3100" w:type="dxa"/>
            <w:vAlign w:val="center"/>
          </w:tcPr>
          <w:p w14:paraId="166BAB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NLE+Graph+Attention F1=0.801</w:t>
            </w:r>
          </w:p>
        </w:tc>
        <w:tc>
          <w:tcPr>
            <w:tcW w:w="3307" w:type="dxa"/>
            <w:vAlign w:val="center"/>
          </w:tcPr>
          <w:p w14:paraId="5046B95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자연어 거래 설명과 강화 정보의 효과 검토</w:t>
            </w:r>
          </w:p>
        </w:tc>
      </w:tr>
      <w:tr w14:paraId="340CD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54" w:type="dxa"/>
            <w:vAlign w:val="center"/>
          </w:tcPr>
          <w:p w14:paraId="0924E4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공격 범위</w:t>
            </w:r>
          </w:p>
        </w:tc>
        <w:tc>
          <w:tcPr>
            <w:tcW w:w="2331" w:type="dxa"/>
            <w:vAlign w:val="center"/>
          </w:tcPr>
          <w:p w14:paraId="579571E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제4장 공격 식별 실험</w:t>
            </w:r>
          </w:p>
        </w:tc>
        <w:tc>
          <w:tcPr>
            <w:tcW w:w="3100" w:type="dxa"/>
            <w:vAlign w:val="center"/>
          </w:tcPr>
          <w:p w14:paraId="52C6425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여러 공격 유형 F1 약 0.775–0.832</w:t>
            </w:r>
          </w:p>
        </w:tc>
        <w:tc>
          <w:tcPr>
            <w:tcW w:w="3307" w:type="dxa"/>
            <w:vAlign w:val="center"/>
          </w:tcPr>
          <w:p w14:paraId="7FA82BA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다양한 공격 유형에 대한 적용 가능성 검토</w:t>
            </w:r>
          </w:p>
        </w:tc>
      </w:tr>
      <w:tr w14:paraId="5FDD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54" w:type="dxa"/>
            <w:vAlign w:val="center"/>
          </w:tcPr>
          <w:p w14:paraId="25F4FB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시스템 분석</w:t>
            </w:r>
          </w:p>
        </w:tc>
        <w:tc>
          <w:tcPr>
            <w:tcW w:w="2331" w:type="dxa"/>
            <w:vAlign w:val="center"/>
          </w:tcPr>
          <w:p w14:paraId="75DF43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제5장 원형 시스템</w:t>
            </w:r>
          </w:p>
        </w:tc>
        <w:tc>
          <w:tcPr>
            <w:tcW w:w="3100" w:type="dxa"/>
            <w:vAlign w:val="center"/>
          </w:tcPr>
          <w:p w14:paraId="4AF9DD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44개 거래 전체 처리 ≤11.72초</w:t>
            </w:r>
          </w:p>
        </w:tc>
        <w:tc>
          <w:tcPr>
            <w:tcW w:w="3307" w:type="dxa"/>
            <w:vAlign w:val="center"/>
          </w:tcPr>
          <w:p w14:paraId="49FA663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체인 밖 준실시간 탐지 가능성 검토</w:t>
            </w:r>
          </w:p>
        </w:tc>
      </w:tr>
      <w:tr w14:paraId="673C3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54" w:type="dxa"/>
            <w:vAlign w:val="center"/>
          </w:tcPr>
          <w:p w14:paraId="0439D25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개선 방향</w:t>
            </w:r>
          </w:p>
        </w:tc>
        <w:tc>
          <w:tcPr>
            <w:tcW w:w="2331" w:type="dxa"/>
            <w:vAlign w:val="center"/>
          </w:tcPr>
          <w:p w14:paraId="157ED5A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제6장 전망</w:t>
            </w:r>
          </w:p>
        </w:tc>
        <w:tc>
          <w:tcPr>
            <w:tcW w:w="3100" w:type="dxa"/>
            <w:vAlign w:val="center"/>
          </w:tcPr>
          <w:p w14:paraId="5516B2D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정보 밀도, 모델 비용, 응답 방식 개선 필요</w:t>
            </w:r>
          </w:p>
        </w:tc>
        <w:tc>
          <w:tcPr>
            <w:tcW w:w="3307" w:type="dxa"/>
            <w:vAlign w:val="center"/>
          </w:tcPr>
          <w:p w14:paraId="4C68F71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5"/>
                <w:szCs w:val="15"/>
              </w:rPr>
            </w:pPr>
            <w:r>
              <w:rPr>
                <w:rFonts w:hint="eastAsia" w:ascii="Malgun Gothic" w:hAnsi="Malgun Gothic" w:eastAsia="Malgun Gothic" w:cs="Malgun Gothic"/>
                <w:b w:val="0"/>
                <w:sz w:val="15"/>
                <w:szCs w:val="15"/>
              </w:rPr>
              <w:t>후속 연구 방향 정리</w:t>
            </w:r>
          </w:p>
        </w:tc>
      </w:tr>
    </w:tbl>
    <w:p w14:paraId="1378AA5C">
      <w:pPr>
        <w:keepNext w:val="0"/>
        <w:keepLines w:val="0"/>
        <w:pageBreakBefore w:val="0"/>
        <w:widowControl/>
        <w:kinsoku/>
        <w:wordWrap/>
        <w:overflowPunct/>
        <w:topLinePunct w:val="0"/>
        <w:autoSpaceDE/>
        <w:autoSpaceDN/>
        <w:bidi w:val="0"/>
        <w:adjustRightInd/>
        <w:snapToGrid/>
        <w:spacing w:before="361" w:beforeLines="100" w:after="0" w:line="360" w:lineRule="auto"/>
        <w:textAlignment w:val="auto"/>
        <w:rPr>
          <w:rFonts w:hint="eastAsia" w:ascii="Malgun Gothic" w:hAnsi="Malgun Gothic" w:eastAsia="Malgun Gothic" w:cs="Malgun Gothic"/>
          <w:sz w:val="21"/>
          <w:szCs w:val="21"/>
          <w:lang w:val="en-US" w:eastAsia="zh-CN"/>
        </w:rPr>
      </w:pPr>
      <w:r>
        <w:rPr>
          <w:rFonts w:hint="eastAsia" w:ascii="Malgun Gothic" w:hAnsi="Malgun Gothic" w:eastAsia="Malgun Gothic" w:cs="Malgun Gothic"/>
          <w:sz w:val="21"/>
          <w:szCs w:val="21"/>
          <w:lang w:val="en-US" w:eastAsia="zh-CN"/>
        </w:rPr>
        <w:t>1.2 AIB2PSec 전체 결과 분석 구조</w:t>
      </w:r>
    </w:p>
    <w:p w14:paraId="7129003D">
      <w:pPr>
        <w:keepNext w:val="0"/>
        <w:keepLines w:val="0"/>
        <w:pageBreakBefore w:val="0"/>
        <w:widowControl/>
        <w:kinsoku/>
        <w:wordWrap/>
        <w:overflowPunct/>
        <w:topLinePunct w:val="0"/>
        <w:autoSpaceDE/>
        <w:autoSpaceDN/>
        <w:bidi w:val="0"/>
        <w:adjustRightInd/>
        <w:snapToGrid/>
        <w:spacing w:before="181" w:beforeLines="50" w:after="0" w:line="360" w:lineRule="auto"/>
        <w:jc w:val="center"/>
        <w:textAlignment w:val="auto"/>
      </w:pPr>
      <w:r>
        <w:drawing>
          <wp:inline distT="0" distB="0" distL="114300" distR="114300">
            <wp:extent cx="5400040" cy="2160270"/>
            <wp:effectExtent l="0" t="0" r="10160" b="1143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rcRect b="32611"/>
                    <a:stretch>
                      <a:fillRect/>
                    </a:stretch>
                  </pic:blipFill>
                  <pic:spPr>
                    <a:xfrm>
                      <a:off x="0" y="0"/>
                      <a:ext cx="5400040" cy="2160270"/>
                    </a:xfrm>
                    <a:prstGeom prst="rect">
                      <a:avLst/>
                    </a:prstGeom>
                  </pic:spPr>
                </pic:pic>
              </a:graphicData>
            </a:graphic>
          </wp:inline>
        </w:drawing>
      </w:r>
    </w:p>
    <w:p w14:paraId="4B86447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그림1 AIB2PSec 통합 결과 분석 구조</w:t>
      </w:r>
    </w:p>
    <w:p w14:paraId="0BE8BD9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그림1은 AIB2PSec의 결과 분석 구조를 나타낸다. 시스템은 이더리움 온체인 거래, trace, opcode, 내부 호출 정보를 입력으로 사용한다. 데이터 처리 이후 두 가지 분석 경로가 구성된다. 첫 번째는 프로젝트의 비즈니스 주간선 그래프를 추출하고 GNN을 통해 프로젝트 유형과 유사성을 식별하는 구조 분석 경로이다. 두 번째는 거래 bytecode를 호출 트리와 자연어 설명으로 변환하고, Graph 강화와 Attention 강화를 거친 후 LoRA-LLM으로 악성 여부를 판단하는 의미 분석 경로이다.</w:t>
      </w:r>
    </w:p>
    <w:p w14:paraId="1FBB56A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이 구조는 본 연구가 단순한 거래 분류 모델이 아니라 프로젝트 수준의 보안 분석 프레임워크임을 보여준다. GNN은 “어떤 프로젝트가 유사한가”를 판단하고, LLM은 “현재 거래가 악성인가”를 판단하며, 두 결과는 프로젝트 수준 위험 경고로 연결된다.</w:t>
      </w:r>
    </w:p>
    <w:p w14:paraId="45FA8B04">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Malgun Gothic" w:hAnsi="Malgun Gothic" w:eastAsia="Malgun Gothic" w:cs="Malgun Gothic"/>
          <w:sz w:val="21"/>
          <w:szCs w:val="21"/>
          <w:lang w:val="en-US" w:eastAsia="zh-CN"/>
        </w:rPr>
      </w:pPr>
      <w:r>
        <w:rPr>
          <w:rFonts w:hint="eastAsia" w:ascii="Malgun Gothic" w:hAnsi="Malgun Gothic" w:eastAsia="Malgun Gothic" w:cs="Malgun Gothic"/>
          <w:sz w:val="21"/>
          <w:szCs w:val="21"/>
          <w:lang w:val="en-US" w:eastAsia="zh-CN"/>
        </w:rPr>
        <w:t>1.3 비즈니스 유사도 식별 결과 분석</w:t>
      </w:r>
    </w:p>
    <w:p w14:paraId="5F933FA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비즈니스 유사도 식별 실험은 DEX, Lending, Yield, NFT, Insurance 다섯 가지 프로젝트 유형을 대상으로 수행되었다. 논문은 Etherscan API, label 데이터셋, DappRadar 등을 통해 정적 데이터를 수집하고, 2020년 1월부터 2022년 12월까지 8억 건 이상의 거래 내부 호출과 opcode 실행 정보를 동적 데이터로 활용하였다. 이러한 데이터는 프로젝트별 비즈니스 주간선 그래프를 구성하는 데 사용되었다.</w:t>
      </w:r>
    </w:p>
    <w:p w14:paraId="5BE9B2AD">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표2 GNN 모델별 평균 성능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1623"/>
        <w:gridCol w:w="1684"/>
        <w:gridCol w:w="1385"/>
        <w:gridCol w:w="3706"/>
      </w:tblGrid>
      <w:tr w14:paraId="6D83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92" w:type="dxa"/>
            <w:shd w:val="clear" w:color="auto" w:fill="D9EAF7"/>
            <w:vAlign w:val="center"/>
          </w:tcPr>
          <w:p w14:paraId="4B282AC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모델</w:t>
            </w:r>
          </w:p>
        </w:tc>
        <w:tc>
          <w:tcPr>
            <w:tcW w:w="1623" w:type="dxa"/>
            <w:shd w:val="clear" w:color="auto" w:fill="D9EAF7"/>
            <w:vAlign w:val="center"/>
          </w:tcPr>
          <w:p w14:paraId="25DB467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Precision</w:t>
            </w:r>
          </w:p>
        </w:tc>
        <w:tc>
          <w:tcPr>
            <w:tcW w:w="1684" w:type="dxa"/>
            <w:shd w:val="clear" w:color="auto" w:fill="D9EAF7"/>
            <w:vAlign w:val="center"/>
          </w:tcPr>
          <w:p w14:paraId="257DA80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Recall</w:t>
            </w:r>
          </w:p>
        </w:tc>
        <w:tc>
          <w:tcPr>
            <w:tcW w:w="1385" w:type="dxa"/>
            <w:shd w:val="clear" w:color="auto" w:fill="D9EAF7"/>
            <w:vAlign w:val="center"/>
          </w:tcPr>
          <w:p w14:paraId="16310BE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F1-score</w:t>
            </w:r>
          </w:p>
        </w:tc>
        <w:tc>
          <w:tcPr>
            <w:tcW w:w="3706" w:type="dxa"/>
            <w:shd w:val="clear" w:color="auto" w:fill="D9EAF7"/>
            <w:vAlign w:val="center"/>
          </w:tcPr>
          <w:p w14:paraId="125CED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해석</w:t>
            </w:r>
          </w:p>
        </w:tc>
      </w:tr>
      <w:tr w14:paraId="1B89B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92" w:type="dxa"/>
            <w:vAlign w:val="center"/>
          </w:tcPr>
          <w:p w14:paraId="0C57D9C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GCN</w:t>
            </w:r>
          </w:p>
        </w:tc>
        <w:tc>
          <w:tcPr>
            <w:tcW w:w="1623" w:type="dxa"/>
            <w:vAlign w:val="center"/>
          </w:tcPr>
          <w:p w14:paraId="25B0795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0.838</w:t>
            </w:r>
          </w:p>
        </w:tc>
        <w:tc>
          <w:tcPr>
            <w:tcW w:w="1684" w:type="dxa"/>
            <w:vAlign w:val="center"/>
          </w:tcPr>
          <w:p w14:paraId="59518D0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0.822</w:t>
            </w:r>
          </w:p>
        </w:tc>
        <w:tc>
          <w:tcPr>
            <w:tcW w:w="1385" w:type="dxa"/>
            <w:vAlign w:val="center"/>
          </w:tcPr>
          <w:p w14:paraId="6988840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0.830</w:t>
            </w:r>
          </w:p>
        </w:tc>
        <w:tc>
          <w:tcPr>
            <w:tcW w:w="3706" w:type="dxa"/>
            <w:vAlign w:val="center"/>
          </w:tcPr>
          <w:p w14:paraId="49C523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가장 우수하며 안정적인 호출 구조 학습</w:t>
            </w:r>
          </w:p>
        </w:tc>
      </w:tr>
      <w:tr w14:paraId="330A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92" w:type="dxa"/>
            <w:vAlign w:val="center"/>
          </w:tcPr>
          <w:p w14:paraId="27DA82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SAGE</w:t>
            </w:r>
          </w:p>
        </w:tc>
        <w:tc>
          <w:tcPr>
            <w:tcW w:w="1623" w:type="dxa"/>
            <w:vAlign w:val="center"/>
          </w:tcPr>
          <w:p w14:paraId="4491F6B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0.627</w:t>
            </w:r>
          </w:p>
        </w:tc>
        <w:tc>
          <w:tcPr>
            <w:tcW w:w="1684" w:type="dxa"/>
            <w:vAlign w:val="center"/>
          </w:tcPr>
          <w:p w14:paraId="550662B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0.630</w:t>
            </w:r>
          </w:p>
        </w:tc>
        <w:tc>
          <w:tcPr>
            <w:tcW w:w="1385" w:type="dxa"/>
            <w:vAlign w:val="center"/>
          </w:tcPr>
          <w:p w14:paraId="14C6A52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0.628</w:t>
            </w:r>
          </w:p>
        </w:tc>
        <w:tc>
          <w:tcPr>
            <w:tcW w:w="3706" w:type="dxa"/>
            <w:vAlign w:val="center"/>
          </w:tcPr>
          <w:p w14:paraId="529989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샘플링으로 핵심 노드 손실 가능</w:t>
            </w:r>
          </w:p>
        </w:tc>
      </w:tr>
      <w:tr w14:paraId="1A00C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92" w:type="dxa"/>
            <w:vAlign w:val="center"/>
          </w:tcPr>
          <w:p w14:paraId="0137E5F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GAT</w:t>
            </w:r>
          </w:p>
        </w:tc>
        <w:tc>
          <w:tcPr>
            <w:tcW w:w="1623" w:type="dxa"/>
            <w:vAlign w:val="center"/>
          </w:tcPr>
          <w:p w14:paraId="64E6C29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0.763</w:t>
            </w:r>
          </w:p>
        </w:tc>
        <w:tc>
          <w:tcPr>
            <w:tcW w:w="1684" w:type="dxa"/>
            <w:vAlign w:val="center"/>
          </w:tcPr>
          <w:p w14:paraId="12FF39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0.646</w:t>
            </w:r>
          </w:p>
        </w:tc>
        <w:tc>
          <w:tcPr>
            <w:tcW w:w="1385" w:type="dxa"/>
            <w:vAlign w:val="center"/>
          </w:tcPr>
          <w:p w14:paraId="6B376D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0.699</w:t>
            </w:r>
          </w:p>
        </w:tc>
        <w:tc>
          <w:tcPr>
            <w:tcW w:w="3706" w:type="dxa"/>
            <w:vAlign w:val="center"/>
          </w:tcPr>
          <w:p w14:paraId="256972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attention은 유용하지만 recall이 낮음</w:t>
            </w:r>
          </w:p>
        </w:tc>
      </w:tr>
      <w:tr w14:paraId="1C607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92" w:type="dxa"/>
            <w:vAlign w:val="center"/>
          </w:tcPr>
          <w:p w14:paraId="0ED2914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GIN</w:t>
            </w:r>
          </w:p>
        </w:tc>
        <w:tc>
          <w:tcPr>
            <w:tcW w:w="1623" w:type="dxa"/>
            <w:vAlign w:val="center"/>
          </w:tcPr>
          <w:p w14:paraId="54ED8C0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0.662</w:t>
            </w:r>
          </w:p>
        </w:tc>
        <w:tc>
          <w:tcPr>
            <w:tcW w:w="1684" w:type="dxa"/>
            <w:vAlign w:val="center"/>
          </w:tcPr>
          <w:p w14:paraId="228572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0.756</w:t>
            </w:r>
          </w:p>
        </w:tc>
        <w:tc>
          <w:tcPr>
            <w:tcW w:w="1385" w:type="dxa"/>
            <w:vAlign w:val="center"/>
          </w:tcPr>
          <w:p w14:paraId="6B106A1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0.704</w:t>
            </w:r>
          </w:p>
        </w:tc>
        <w:tc>
          <w:tcPr>
            <w:tcW w:w="3706" w:type="dxa"/>
            <w:vAlign w:val="center"/>
          </w:tcPr>
          <w:p w14:paraId="2324964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국소 구조 표현은 가능하나 전체 안정성 낮음</w:t>
            </w:r>
          </w:p>
        </w:tc>
      </w:tr>
    </w:tbl>
    <w:p w14:paraId="6541D1E4"/>
    <w:p w14:paraId="358F04FF">
      <w:pPr>
        <w:keepNext w:val="0"/>
        <w:keepLines w:val="0"/>
        <w:pageBreakBefore w:val="0"/>
        <w:widowControl/>
        <w:kinsoku/>
        <w:wordWrap/>
        <w:overflowPunct/>
        <w:topLinePunct w:val="0"/>
        <w:autoSpaceDE/>
        <w:autoSpaceDN/>
        <w:bidi w:val="0"/>
        <w:adjustRightInd/>
        <w:snapToGrid/>
        <w:spacing w:before="361" w:beforeLines="100" w:after="181" w:afterLines="50" w:line="360" w:lineRule="auto"/>
        <w:jc w:val="center"/>
        <w:textAlignment w:val="auto"/>
      </w:pPr>
      <w:r>
        <w:drawing>
          <wp:inline distT="0" distB="0" distL="114300" distR="114300">
            <wp:extent cx="5400040" cy="2700020"/>
            <wp:effectExtent l="0" t="0" r="10160" b="508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5400040" cy="2700020"/>
                    </a:xfrm>
                    <a:prstGeom prst="rect">
                      <a:avLst/>
                    </a:prstGeom>
                  </pic:spPr>
                </pic:pic>
              </a:graphicData>
            </a:graphic>
          </wp:inline>
        </w:drawing>
      </w:r>
    </w:p>
    <w:p w14:paraId="5E642C6A">
      <w:pPr>
        <w:keepNext w:val="0"/>
        <w:keepLines w:val="0"/>
        <w:pageBreakBefore w:val="0"/>
        <w:widowControl/>
        <w:kinsoku/>
        <w:wordWrap/>
        <w:overflowPunct/>
        <w:topLinePunct w:val="0"/>
        <w:autoSpaceDE/>
        <w:autoSpaceDN/>
        <w:bidi w:val="0"/>
        <w:adjustRightInd/>
        <w:snapToGrid/>
        <w:spacing w:before="181" w:beforeLines="50" w:after="361" w:afterLines="10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그림2 GNN 모델별 평균 성능</w:t>
      </w:r>
    </w:p>
    <w:p w14:paraId="4A5963E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GCN은 평균 F1-score 0.830으로 가장 높은 성능을 보였다. 이는 스마트 계약 프로젝트가 본질적으로 그래프 구조를 가지며, 다중 계약 간 호출 관계가 프로젝트의 비즈니스 로직을 반영한다는 점을 보여준다. GCN의 이웃 정보 집계 방식은 프로젝트 내부의 안정적인 호출 관계를 학습하는 데 적합하다.</w:t>
      </w:r>
    </w:p>
    <w:p w14:paraId="4A929E20">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표3 프로젝트 유형별 비즈니스 유사도 식별 결과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304"/>
        <w:gridCol w:w="1304"/>
        <w:gridCol w:w="1304"/>
        <w:gridCol w:w="1304"/>
        <w:gridCol w:w="1304"/>
        <w:gridCol w:w="1304"/>
      </w:tblGrid>
      <w:tr w14:paraId="0290E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04" w:type="dxa"/>
            <w:shd w:val="clear" w:color="auto" w:fill="D9EAF7"/>
            <w:vAlign w:val="center"/>
          </w:tcPr>
          <w:p w14:paraId="3FDB68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프로젝트 유형</w:t>
            </w:r>
          </w:p>
        </w:tc>
        <w:tc>
          <w:tcPr>
            <w:tcW w:w="1304" w:type="dxa"/>
            <w:shd w:val="clear" w:color="auto" w:fill="D9EAF7"/>
            <w:vAlign w:val="center"/>
          </w:tcPr>
          <w:p w14:paraId="5F60FE3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GCN-P</w:t>
            </w:r>
          </w:p>
        </w:tc>
        <w:tc>
          <w:tcPr>
            <w:tcW w:w="1304" w:type="dxa"/>
            <w:shd w:val="clear" w:color="auto" w:fill="D9EAF7"/>
            <w:vAlign w:val="center"/>
          </w:tcPr>
          <w:p w14:paraId="64FBC6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GCN-R</w:t>
            </w:r>
          </w:p>
        </w:tc>
        <w:tc>
          <w:tcPr>
            <w:tcW w:w="1304" w:type="dxa"/>
            <w:shd w:val="clear" w:color="auto" w:fill="D9EAF7"/>
            <w:vAlign w:val="center"/>
          </w:tcPr>
          <w:p w14:paraId="3BEA53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GCN-F1</w:t>
            </w:r>
          </w:p>
        </w:tc>
        <w:tc>
          <w:tcPr>
            <w:tcW w:w="1304" w:type="dxa"/>
            <w:shd w:val="clear" w:color="auto" w:fill="D9EAF7"/>
            <w:vAlign w:val="center"/>
          </w:tcPr>
          <w:p w14:paraId="7C38687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SAGE-F1</w:t>
            </w:r>
          </w:p>
        </w:tc>
        <w:tc>
          <w:tcPr>
            <w:tcW w:w="1304" w:type="dxa"/>
            <w:shd w:val="clear" w:color="auto" w:fill="D9EAF7"/>
            <w:vAlign w:val="center"/>
          </w:tcPr>
          <w:p w14:paraId="5109C9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GAT-F1</w:t>
            </w:r>
          </w:p>
        </w:tc>
        <w:tc>
          <w:tcPr>
            <w:tcW w:w="1304" w:type="dxa"/>
            <w:shd w:val="clear" w:color="auto" w:fill="D9EAF7"/>
            <w:vAlign w:val="center"/>
          </w:tcPr>
          <w:p w14:paraId="1F4D70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GIN-F1</w:t>
            </w:r>
          </w:p>
        </w:tc>
      </w:tr>
      <w:tr w14:paraId="2696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04" w:type="dxa"/>
            <w:vAlign w:val="center"/>
          </w:tcPr>
          <w:p w14:paraId="6D52C92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DEX</w:t>
            </w:r>
          </w:p>
        </w:tc>
        <w:tc>
          <w:tcPr>
            <w:tcW w:w="1304" w:type="dxa"/>
            <w:vAlign w:val="center"/>
          </w:tcPr>
          <w:p w14:paraId="2B1CA4B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0.830</w:t>
            </w:r>
          </w:p>
        </w:tc>
        <w:tc>
          <w:tcPr>
            <w:tcW w:w="1304" w:type="dxa"/>
            <w:vAlign w:val="center"/>
          </w:tcPr>
          <w:p w14:paraId="7816CF1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0.835</w:t>
            </w:r>
          </w:p>
        </w:tc>
        <w:tc>
          <w:tcPr>
            <w:tcW w:w="1304" w:type="dxa"/>
            <w:vAlign w:val="center"/>
          </w:tcPr>
          <w:p w14:paraId="6FD2E18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0.833</w:t>
            </w:r>
          </w:p>
        </w:tc>
        <w:tc>
          <w:tcPr>
            <w:tcW w:w="1304" w:type="dxa"/>
            <w:vAlign w:val="center"/>
          </w:tcPr>
          <w:p w14:paraId="4866EE7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0.624</w:t>
            </w:r>
          </w:p>
        </w:tc>
        <w:tc>
          <w:tcPr>
            <w:tcW w:w="1304" w:type="dxa"/>
            <w:vAlign w:val="center"/>
          </w:tcPr>
          <w:p w14:paraId="716DF5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0.720</w:t>
            </w:r>
          </w:p>
        </w:tc>
        <w:tc>
          <w:tcPr>
            <w:tcW w:w="1304" w:type="dxa"/>
            <w:vAlign w:val="center"/>
          </w:tcPr>
          <w:p w14:paraId="379BB37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0.688</w:t>
            </w:r>
          </w:p>
        </w:tc>
      </w:tr>
      <w:tr w14:paraId="6997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04" w:type="dxa"/>
            <w:vAlign w:val="center"/>
          </w:tcPr>
          <w:p w14:paraId="49E5E37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Lending</w:t>
            </w:r>
          </w:p>
        </w:tc>
        <w:tc>
          <w:tcPr>
            <w:tcW w:w="1304" w:type="dxa"/>
            <w:vAlign w:val="center"/>
          </w:tcPr>
          <w:p w14:paraId="5975F6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0.846</w:t>
            </w:r>
          </w:p>
        </w:tc>
        <w:tc>
          <w:tcPr>
            <w:tcW w:w="1304" w:type="dxa"/>
            <w:vAlign w:val="center"/>
          </w:tcPr>
          <w:p w14:paraId="6A8D19D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0.846</w:t>
            </w:r>
          </w:p>
        </w:tc>
        <w:tc>
          <w:tcPr>
            <w:tcW w:w="1304" w:type="dxa"/>
            <w:vAlign w:val="center"/>
          </w:tcPr>
          <w:p w14:paraId="675783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0.846</w:t>
            </w:r>
          </w:p>
        </w:tc>
        <w:tc>
          <w:tcPr>
            <w:tcW w:w="1304" w:type="dxa"/>
            <w:vAlign w:val="center"/>
          </w:tcPr>
          <w:p w14:paraId="2C4FB13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0.633</w:t>
            </w:r>
          </w:p>
        </w:tc>
        <w:tc>
          <w:tcPr>
            <w:tcW w:w="1304" w:type="dxa"/>
            <w:vAlign w:val="center"/>
          </w:tcPr>
          <w:p w14:paraId="37FB7CE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0.690</w:t>
            </w:r>
          </w:p>
        </w:tc>
        <w:tc>
          <w:tcPr>
            <w:tcW w:w="1304" w:type="dxa"/>
            <w:vAlign w:val="center"/>
          </w:tcPr>
          <w:p w14:paraId="5C61FF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0.781</w:t>
            </w:r>
          </w:p>
        </w:tc>
      </w:tr>
      <w:tr w14:paraId="7A9B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04" w:type="dxa"/>
            <w:vAlign w:val="center"/>
          </w:tcPr>
          <w:p w14:paraId="5A541A9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Yield</w:t>
            </w:r>
          </w:p>
        </w:tc>
        <w:tc>
          <w:tcPr>
            <w:tcW w:w="1304" w:type="dxa"/>
            <w:vAlign w:val="center"/>
          </w:tcPr>
          <w:p w14:paraId="4F861E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0.827</w:t>
            </w:r>
          </w:p>
        </w:tc>
        <w:tc>
          <w:tcPr>
            <w:tcW w:w="1304" w:type="dxa"/>
            <w:vAlign w:val="center"/>
          </w:tcPr>
          <w:p w14:paraId="36E3AD2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0.812</w:t>
            </w:r>
          </w:p>
        </w:tc>
        <w:tc>
          <w:tcPr>
            <w:tcW w:w="1304" w:type="dxa"/>
            <w:vAlign w:val="center"/>
          </w:tcPr>
          <w:p w14:paraId="0A1981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0.820</w:t>
            </w:r>
          </w:p>
        </w:tc>
        <w:tc>
          <w:tcPr>
            <w:tcW w:w="1304" w:type="dxa"/>
            <w:vAlign w:val="center"/>
          </w:tcPr>
          <w:p w14:paraId="3A95BAC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0.644</w:t>
            </w:r>
          </w:p>
        </w:tc>
        <w:tc>
          <w:tcPr>
            <w:tcW w:w="1304" w:type="dxa"/>
            <w:vAlign w:val="center"/>
          </w:tcPr>
          <w:p w14:paraId="7639EAF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0.665</w:t>
            </w:r>
          </w:p>
        </w:tc>
        <w:tc>
          <w:tcPr>
            <w:tcW w:w="1304" w:type="dxa"/>
            <w:vAlign w:val="center"/>
          </w:tcPr>
          <w:p w14:paraId="4C79767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0.680</w:t>
            </w:r>
          </w:p>
        </w:tc>
      </w:tr>
      <w:tr w14:paraId="19F6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04" w:type="dxa"/>
            <w:vAlign w:val="center"/>
          </w:tcPr>
          <w:p w14:paraId="52EA43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NFT</w:t>
            </w:r>
          </w:p>
        </w:tc>
        <w:tc>
          <w:tcPr>
            <w:tcW w:w="1304" w:type="dxa"/>
            <w:vAlign w:val="center"/>
          </w:tcPr>
          <w:p w14:paraId="79B797A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0.816</w:t>
            </w:r>
          </w:p>
        </w:tc>
        <w:tc>
          <w:tcPr>
            <w:tcW w:w="1304" w:type="dxa"/>
            <w:vAlign w:val="center"/>
          </w:tcPr>
          <w:p w14:paraId="4F5A474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0.805</w:t>
            </w:r>
          </w:p>
        </w:tc>
        <w:tc>
          <w:tcPr>
            <w:tcW w:w="1304" w:type="dxa"/>
            <w:vAlign w:val="center"/>
          </w:tcPr>
          <w:p w14:paraId="4DB27A4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0.810</w:t>
            </w:r>
          </w:p>
        </w:tc>
        <w:tc>
          <w:tcPr>
            <w:tcW w:w="1304" w:type="dxa"/>
            <w:vAlign w:val="center"/>
          </w:tcPr>
          <w:p w14:paraId="5FCB099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0.606</w:t>
            </w:r>
          </w:p>
        </w:tc>
        <w:tc>
          <w:tcPr>
            <w:tcW w:w="1304" w:type="dxa"/>
            <w:vAlign w:val="center"/>
          </w:tcPr>
          <w:p w14:paraId="78D9AD3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0.715</w:t>
            </w:r>
          </w:p>
        </w:tc>
        <w:tc>
          <w:tcPr>
            <w:tcW w:w="1304" w:type="dxa"/>
            <w:vAlign w:val="center"/>
          </w:tcPr>
          <w:p w14:paraId="0CB44DB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0.697</w:t>
            </w:r>
          </w:p>
        </w:tc>
      </w:tr>
      <w:tr w14:paraId="79CF9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04" w:type="dxa"/>
            <w:vAlign w:val="center"/>
          </w:tcPr>
          <w:p w14:paraId="17D4FFA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Insurance</w:t>
            </w:r>
          </w:p>
        </w:tc>
        <w:tc>
          <w:tcPr>
            <w:tcW w:w="1304" w:type="dxa"/>
            <w:vAlign w:val="center"/>
          </w:tcPr>
          <w:p w14:paraId="2AD2BAD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0.871</w:t>
            </w:r>
          </w:p>
        </w:tc>
        <w:tc>
          <w:tcPr>
            <w:tcW w:w="1304" w:type="dxa"/>
            <w:vAlign w:val="center"/>
          </w:tcPr>
          <w:p w14:paraId="69C5E0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0.813</w:t>
            </w:r>
          </w:p>
        </w:tc>
        <w:tc>
          <w:tcPr>
            <w:tcW w:w="1304" w:type="dxa"/>
            <w:vAlign w:val="center"/>
          </w:tcPr>
          <w:p w14:paraId="526D44C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0.841</w:t>
            </w:r>
          </w:p>
        </w:tc>
        <w:tc>
          <w:tcPr>
            <w:tcW w:w="1304" w:type="dxa"/>
            <w:vAlign w:val="center"/>
          </w:tcPr>
          <w:p w14:paraId="0BF27E4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0.633</w:t>
            </w:r>
          </w:p>
        </w:tc>
        <w:tc>
          <w:tcPr>
            <w:tcW w:w="1304" w:type="dxa"/>
            <w:vAlign w:val="center"/>
          </w:tcPr>
          <w:p w14:paraId="02C7B4D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0.707</w:t>
            </w:r>
          </w:p>
        </w:tc>
        <w:tc>
          <w:tcPr>
            <w:tcW w:w="1304" w:type="dxa"/>
            <w:vAlign w:val="center"/>
          </w:tcPr>
          <w:p w14:paraId="58CD50A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0.679</w:t>
            </w:r>
          </w:p>
        </w:tc>
      </w:tr>
      <w:tr w14:paraId="73979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04" w:type="dxa"/>
            <w:vAlign w:val="center"/>
          </w:tcPr>
          <w:p w14:paraId="4186D2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Average</w:t>
            </w:r>
          </w:p>
        </w:tc>
        <w:tc>
          <w:tcPr>
            <w:tcW w:w="1304" w:type="dxa"/>
            <w:vAlign w:val="center"/>
          </w:tcPr>
          <w:p w14:paraId="2FE612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0.838</w:t>
            </w:r>
          </w:p>
        </w:tc>
        <w:tc>
          <w:tcPr>
            <w:tcW w:w="1304" w:type="dxa"/>
            <w:vAlign w:val="center"/>
          </w:tcPr>
          <w:p w14:paraId="4D47B4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0.822</w:t>
            </w:r>
          </w:p>
        </w:tc>
        <w:tc>
          <w:tcPr>
            <w:tcW w:w="1304" w:type="dxa"/>
            <w:vAlign w:val="center"/>
          </w:tcPr>
          <w:p w14:paraId="2BBD10C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0.830</w:t>
            </w:r>
          </w:p>
        </w:tc>
        <w:tc>
          <w:tcPr>
            <w:tcW w:w="1304" w:type="dxa"/>
            <w:vAlign w:val="center"/>
          </w:tcPr>
          <w:p w14:paraId="13D27E4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0.628</w:t>
            </w:r>
          </w:p>
        </w:tc>
        <w:tc>
          <w:tcPr>
            <w:tcW w:w="1304" w:type="dxa"/>
            <w:vAlign w:val="center"/>
          </w:tcPr>
          <w:p w14:paraId="774A3CE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0.699</w:t>
            </w:r>
          </w:p>
        </w:tc>
        <w:tc>
          <w:tcPr>
            <w:tcW w:w="1304" w:type="dxa"/>
            <w:vAlign w:val="center"/>
          </w:tcPr>
          <w:p w14:paraId="4F987C4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0.704</w:t>
            </w:r>
          </w:p>
        </w:tc>
      </w:tr>
    </w:tbl>
    <w:p w14:paraId="21684238"/>
    <w:p w14:paraId="2F85062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drawing>
          <wp:inline distT="0" distB="0" distL="114300" distR="114300">
            <wp:extent cx="5400040" cy="2700020"/>
            <wp:effectExtent l="0" t="0" r="10160" b="508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5400040" cy="2700020"/>
                    </a:xfrm>
                    <a:prstGeom prst="rect">
                      <a:avLst/>
                    </a:prstGeom>
                  </pic:spPr>
                </pic:pic>
              </a:graphicData>
            </a:graphic>
          </wp:inline>
        </w:drawing>
      </w:r>
    </w:p>
    <w:p w14:paraId="13FD1BBF">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그림3 프로젝트 유형별 GCN F1-score</w:t>
      </w:r>
    </w:p>
    <w:p w14:paraId="6B4973E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프로젝트 유형별 결과에서도 GCN은 DEX, Lending, Yield, NFT, Insurance 전반에서 비교적 균형 잡힌 성능을 보였다. 이는 모델이 특정 프로젝트 유형에만 의존하지 않고, 비즈니스 호출 구조 자체를 학습하고 있음을 의미한다.</w:t>
      </w:r>
    </w:p>
    <w:p w14:paraId="2F8E5DB0">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Malgun Gothic" w:hAnsi="Malgun Gothic" w:eastAsia="Malgun Gothic" w:cs="Malgun Gothic"/>
          <w:b/>
          <w:bCs/>
          <w:sz w:val="21"/>
          <w:szCs w:val="21"/>
          <w:lang w:val="en-US" w:eastAsia="zh-CN"/>
        </w:rPr>
      </w:pPr>
      <w:r>
        <w:rPr>
          <w:rFonts w:hint="eastAsia" w:ascii="Malgun Gothic" w:hAnsi="Malgun Gothic" w:eastAsia="Malgun Gothic" w:cs="Malgun Gothic"/>
          <w:b/>
          <w:bCs/>
          <w:sz w:val="21"/>
          <w:szCs w:val="21"/>
          <w:lang w:val="en-US" w:eastAsia="zh-CN"/>
        </w:rPr>
        <w:t>1.4 악성 거래 탐지 결과 분석</w:t>
      </w:r>
    </w:p>
    <w:p w14:paraId="3C40F1E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악성 거래 탐지 모듈은 거래 bytecode를 opcode와 호출 경로로 복원한 뒤, 호출 트리 기반 자연어 설명을 생성한다. 이후 그래프 합성곱은 중요한 호출 객체를 강조하고, 자가주의 메커니즘은 중요한 함수 호출 순서를 추출한다. 이 세 가지 정보는 LoRA 미세조정된 Llama2-7B 모델의 입력 템플릿으로 사용된다.</w:t>
      </w:r>
    </w:p>
    <w:p w14:paraId="1606EF04">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표4 LLM 악성 거래 탐지 Ablation 결과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3562"/>
        <w:gridCol w:w="1092"/>
        <w:gridCol w:w="3192"/>
      </w:tblGrid>
      <w:tr w14:paraId="4CCF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46" w:type="dxa"/>
            <w:shd w:val="clear" w:color="auto" w:fill="D9EAF7"/>
            <w:vAlign w:val="center"/>
          </w:tcPr>
          <w:p w14:paraId="164632B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입력 템플릿</w:t>
            </w:r>
          </w:p>
        </w:tc>
        <w:tc>
          <w:tcPr>
            <w:tcW w:w="3562" w:type="dxa"/>
            <w:shd w:val="clear" w:color="auto" w:fill="D9EAF7"/>
            <w:vAlign w:val="center"/>
          </w:tcPr>
          <w:p w14:paraId="1C1F968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핵심 정보</w:t>
            </w:r>
          </w:p>
        </w:tc>
        <w:tc>
          <w:tcPr>
            <w:tcW w:w="1092" w:type="dxa"/>
            <w:shd w:val="clear" w:color="auto" w:fill="D9EAF7"/>
            <w:vAlign w:val="center"/>
          </w:tcPr>
          <w:p w14:paraId="1B38351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F1-score</w:t>
            </w:r>
          </w:p>
        </w:tc>
        <w:tc>
          <w:tcPr>
            <w:tcW w:w="3192" w:type="dxa"/>
            <w:shd w:val="clear" w:color="auto" w:fill="D9EAF7"/>
            <w:vAlign w:val="center"/>
          </w:tcPr>
          <w:p w14:paraId="6B6EE7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해석</w:t>
            </w:r>
          </w:p>
        </w:tc>
      </w:tr>
      <w:tr w14:paraId="30DC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46" w:type="dxa"/>
            <w:vAlign w:val="center"/>
          </w:tcPr>
          <w:p w14:paraId="2136A78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NLE Only</w:t>
            </w:r>
          </w:p>
        </w:tc>
        <w:tc>
          <w:tcPr>
            <w:tcW w:w="3562" w:type="dxa"/>
            <w:vAlign w:val="center"/>
          </w:tcPr>
          <w:p w14:paraId="5500C1D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transaction-level natural language context</w:t>
            </w:r>
          </w:p>
        </w:tc>
        <w:tc>
          <w:tcPr>
            <w:tcW w:w="1092" w:type="dxa"/>
            <w:vAlign w:val="center"/>
          </w:tcPr>
          <w:p w14:paraId="064B325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0.695</w:t>
            </w:r>
          </w:p>
        </w:tc>
        <w:tc>
          <w:tcPr>
            <w:tcW w:w="3192" w:type="dxa"/>
            <w:vAlign w:val="center"/>
          </w:tcPr>
          <w:p w14:paraId="47DD12B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단독 사용 시 정보 차원이 부족</w:t>
            </w:r>
          </w:p>
        </w:tc>
      </w:tr>
      <w:tr w14:paraId="70F8B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46" w:type="dxa"/>
            <w:vAlign w:val="center"/>
          </w:tcPr>
          <w:p w14:paraId="6DF6A0E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Graph Only</w:t>
            </w:r>
          </w:p>
        </w:tc>
        <w:tc>
          <w:tcPr>
            <w:tcW w:w="3562" w:type="dxa"/>
            <w:vAlign w:val="center"/>
          </w:tcPr>
          <w:p w14:paraId="24FCB54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key call-object highlighting</w:t>
            </w:r>
          </w:p>
        </w:tc>
        <w:tc>
          <w:tcPr>
            <w:tcW w:w="1092" w:type="dxa"/>
            <w:vAlign w:val="center"/>
          </w:tcPr>
          <w:p w14:paraId="21342ED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0.684</w:t>
            </w:r>
          </w:p>
        </w:tc>
        <w:tc>
          <w:tcPr>
            <w:tcW w:w="3192" w:type="dxa"/>
            <w:vAlign w:val="center"/>
          </w:tcPr>
          <w:p w14:paraId="1910C1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단독 사용 시 정보 차원이 부족</w:t>
            </w:r>
          </w:p>
        </w:tc>
      </w:tr>
      <w:tr w14:paraId="7F9D6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46" w:type="dxa"/>
            <w:vAlign w:val="center"/>
          </w:tcPr>
          <w:p w14:paraId="26E730B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Attention Only</w:t>
            </w:r>
          </w:p>
        </w:tc>
        <w:tc>
          <w:tcPr>
            <w:tcW w:w="3562" w:type="dxa"/>
            <w:vAlign w:val="center"/>
          </w:tcPr>
          <w:p w14:paraId="75E1BC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important function sequence highlighting</w:t>
            </w:r>
          </w:p>
        </w:tc>
        <w:tc>
          <w:tcPr>
            <w:tcW w:w="1092" w:type="dxa"/>
            <w:vAlign w:val="center"/>
          </w:tcPr>
          <w:p w14:paraId="0AE070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0.640</w:t>
            </w:r>
          </w:p>
        </w:tc>
        <w:tc>
          <w:tcPr>
            <w:tcW w:w="3192" w:type="dxa"/>
            <w:vAlign w:val="center"/>
          </w:tcPr>
          <w:p w14:paraId="1A09D1E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단독 사용 시 정보 차원이 부족</w:t>
            </w:r>
          </w:p>
        </w:tc>
      </w:tr>
      <w:tr w14:paraId="4910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46" w:type="dxa"/>
            <w:vAlign w:val="center"/>
          </w:tcPr>
          <w:p w14:paraId="728DFD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NLE+Graph+Attention</w:t>
            </w:r>
          </w:p>
        </w:tc>
        <w:tc>
          <w:tcPr>
            <w:tcW w:w="3562" w:type="dxa"/>
            <w:vAlign w:val="center"/>
          </w:tcPr>
          <w:p w14:paraId="57FCA0D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full semantic + object + path enhancement</w:t>
            </w:r>
          </w:p>
        </w:tc>
        <w:tc>
          <w:tcPr>
            <w:tcW w:w="1092" w:type="dxa"/>
            <w:vAlign w:val="center"/>
          </w:tcPr>
          <w:p w14:paraId="7589672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0.801</w:t>
            </w:r>
          </w:p>
        </w:tc>
        <w:tc>
          <w:tcPr>
            <w:tcW w:w="3192" w:type="dxa"/>
            <w:vAlign w:val="center"/>
          </w:tcPr>
          <w:p w14:paraId="3D1723D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세 정보가 상호 보완되어 가장 우수한 성능</w:t>
            </w:r>
          </w:p>
        </w:tc>
      </w:tr>
    </w:tbl>
    <w:p w14:paraId="42E1E628"/>
    <w:p w14:paraId="0791A356">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drawing>
          <wp:inline distT="0" distB="0" distL="114300" distR="114300">
            <wp:extent cx="5400040" cy="2879725"/>
            <wp:effectExtent l="0" t="0" r="10160" b="3175"/>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stretch>
                      <a:fillRect/>
                    </a:stretch>
                  </pic:blipFill>
                  <pic:spPr>
                    <a:xfrm>
                      <a:off x="0" y="0"/>
                      <a:ext cx="5400040" cy="2879725"/>
                    </a:xfrm>
                    <a:prstGeom prst="rect">
                      <a:avLst/>
                    </a:prstGeom>
                  </pic:spPr>
                </pic:pic>
              </a:graphicData>
            </a:graphic>
          </wp:inline>
        </w:drawing>
      </w:r>
    </w:p>
    <w:p w14:paraId="2FB1A740">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그림4 LLM 악성 거래 탐지 Ablation 결과</w:t>
      </w:r>
    </w:p>
    <w:p w14:paraId="600FDC7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전체 템플릿인 NLE+Graph+Attention은 F1-score 0.801로 가장 높은 성능을 기록하였다. 자연어 설명은 거래의 전체 맥락을 제공하고, Graph 강화는 핵심 호출 객체를 강조하며, Attention 강화는 중요한 함수 순서를 강조한다. 따라서 악성 거래 탐지는 단순한 opcode 패턴 분류가 아니라 거래 실행 의미를 이해하는 문제라고 해석할 수 있다.</w:t>
      </w:r>
    </w:p>
    <w:p w14:paraId="4C0909B3">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표5 악성 거래 탐지 공격 유형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2"/>
        <w:gridCol w:w="3808"/>
        <w:gridCol w:w="4022"/>
      </w:tblGrid>
      <w:tr w14:paraId="60CA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62" w:type="dxa"/>
            <w:shd w:val="clear" w:color="auto" w:fill="D9EAF7"/>
            <w:vAlign w:val="center"/>
          </w:tcPr>
          <w:p w14:paraId="1A41B8B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공격 유형</w:t>
            </w:r>
          </w:p>
        </w:tc>
        <w:tc>
          <w:tcPr>
            <w:tcW w:w="3808" w:type="dxa"/>
            <w:shd w:val="clear" w:color="auto" w:fill="D9EAF7"/>
            <w:vAlign w:val="center"/>
          </w:tcPr>
          <w:p w14:paraId="2A1D45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거래 특징</w:t>
            </w:r>
          </w:p>
        </w:tc>
        <w:tc>
          <w:tcPr>
            <w:tcW w:w="4022" w:type="dxa"/>
            <w:shd w:val="clear" w:color="auto" w:fill="D9EAF7"/>
            <w:vAlign w:val="center"/>
          </w:tcPr>
          <w:p w14:paraId="640041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탐지 의미</w:t>
            </w:r>
          </w:p>
        </w:tc>
      </w:tr>
      <w:tr w14:paraId="29036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62" w:type="dxa"/>
            <w:vAlign w:val="center"/>
          </w:tcPr>
          <w:p w14:paraId="6C734FA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Reentrancy</w:t>
            </w:r>
          </w:p>
        </w:tc>
        <w:tc>
          <w:tcPr>
            <w:tcW w:w="3808" w:type="dxa"/>
            <w:vAlign w:val="center"/>
          </w:tcPr>
          <w:p w14:paraId="21D57FB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반복 호출로 인한 비정상 상태 변화</w:t>
            </w:r>
          </w:p>
        </w:tc>
        <w:tc>
          <w:tcPr>
            <w:tcW w:w="4022" w:type="dxa"/>
            <w:vAlign w:val="center"/>
          </w:tcPr>
          <w:p w14:paraId="0A9191F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비정상 호출 체인 식별 능력 검증</w:t>
            </w:r>
          </w:p>
        </w:tc>
      </w:tr>
      <w:tr w14:paraId="2E8F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62" w:type="dxa"/>
            <w:vAlign w:val="center"/>
          </w:tcPr>
          <w:p w14:paraId="0E91FE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Flashloan</w:t>
            </w:r>
          </w:p>
        </w:tc>
        <w:tc>
          <w:tcPr>
            <w:tcW w:w="3808" w:type="dxa"/>
            <w:vAlign w:val="center"/>
          </w:tcPr>
          <w:p w14:paraId="5F18C7C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순간 유동성을 이용한 가격 또는 상태 조작</w:t>
            </w:r>
          </w:p>
        </w:tc>
        <w:tc>
          <w:tcPr>
            <w:tcW w:w="4022" w:type="dxa"/>
            <w:vAlign w:val="center"/>
          </w:tcPr>
          <w:p w14:paraId="77F9892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복잡한 교차 프로토콜 거래 이해 능력 검증</w:t>
            </w:r>
          </w:p>
        </w:tc>
      </w:tr>
      <w:tr w14:paraId="02CF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62" w:type="dxa"/>
            <w:vAlign w:val="center"/>
          </w:tcPr>
          <w:p w14:paraId="41E1586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DoS</w:t>
            </w:r>
          </w:p>
        </w:tc>
        <w:tc>
          <w:tcPr>
            <w:tcW w:w="3808" w:type="dxa"/>
            <w:vAlign w:val="center"/>
          </w:tcPr>
          <w:p w14:paraId="523B53C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비정상 요청 또는 자원 소모</w:t>
            </w:r>
          </w:p>
        </w:tc>
        <w:tc>
          <w:tcPr>
            <w:tcW w:w="4022" w:type="dxa"/>
            <w:vAlign w:val="center"/>
          </w:tcPr>
          <w:p w14:paraId="2D3EE9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비정상 실행 경로 식별 능력 검증</w:t>
            </w:r>
          </w:p>
        </w:tc>
      </w:tr>
      <w:tr w14:paraId="76BEF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62" w:type="dxa"/>
            <w:vAlign w:val="center"/>
          </w:tcPr>
          <w:p w14:paraId="4DFAE1B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Front Running</w:t>
            </w:r>
          </w:p>
        </w:tc>
        <w:tc>
          <w:tcPr>
            <w:tcW w:w="3808" w:type="dxa"/>
            <w:vAlign w:val="center"/>
          </w:tcPr>
          <w:p w14:paraId="3997F27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거래 순서와 gas 경쟁 이용</w:t>
            </w:r>
          </w:p>
        </w:tc>
        <w:tc>
          <w:tcPr>
            <w:tcW w:w="4022" w:type="dxa"/>
            <w:vAlign w:val="center"/>
          </w:tcPr>
          <w:p w14:paraId="50D77FC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거래 행동 이상 식별 능력 검증</w:t>
            </w:r>
          </w:p>
        </w:tc>
      </w:tr>
      <w:tr w14:paraId="7787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62" w:type="dxa"/>
            <w:vAlign w:val="center"/>
          </w:tcPr>
          <w:p w14:paraId="6BEFAD7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Integer Overflow</w:t>
            </w:r>
          </w:p>
        </w:tc>
        <w:tc>
          <w:tcPr>
            <w:tcW w:w="3808" w:type="dxa"/>
            <w:vAlign w:val="center"/>
          </w:tcPr>
          <w:p w14:paraId="0773C7D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수치 경계 오류에 따른 상태 이상</w:t>
            </w:r>
          </w:p>
        </w:tc>
        <w:tc>
          <w:tcPr>
            <w:tcW w:w="4022" w:type="dxa"/>
            <w:vAlign w:val="center"/>
          </w:tcPr>
          <w:p w14:paraId="3D771A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상태 변화 이상 식별 능력 검증</w:t>
            </w:r>
          </w:p>
        </w:tc>
      </w:tr>
    </w:tbl>
    <w:p w14:paraId="25B45686">
      <w:pPr>
        <w:keepNext w:val="0"/>
        <w:keepLines w:val="0"/>
        <w:pageBreakBefore w:val="0"/>
        <w:widowControl/>
        <w:kinsoku/>
        <w:wordWrap/>
        <w:overflowPunct/>
        <w:topLinePunct w:val="0"/>
        <w:autoSpaceDE/>
        <w:autoSpaceDN/>
        <w:bidi w:val="0"/>
        <w:adjustRightInd/>
        <w:snapToGrid/>
        <w:spacing w:before="181" w:beforeLines="50"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논문은 Reentrancy, Flashloan, DoS, Front Running, Integer Overflow 등 다양한 공격 유형을 포함하였으며, 전체 F1 범위는 약 0.775–0.832로 제시되었다. 이는 AIB2PSec가 특정 공격에만 제한되지 않고 다양한 거래 실행 패턴을 분석할 수 있음을 의미한다.</w:t>
      </w:r>
    </w:p>
    <w:p w14:paraId="5EF44D43">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Malgun Gothic" w:hAnsi="Malgun Gothic" w:eastAsia="Malgun Gothic" w:cs="Malgun Gothic"/>
          <w:b/>
          <w:bCs/>
          <w:sz w:val="21"/>
          <w:szCs w:val="21"/>
          <w:lang w:val="en-US" w:eastAsia="zh-CN"/>
        </w:rPr>
      </w:pPr>
      <w:r>
        <w:rPr>
          <w:rFonts w:hint="eastAsia" w:ascii="Malgun Gothic" w:hAnsi="Malgun Gothic" w:eastAsia="Malgun Gothic" w:cs="Malgun Gothic"/>
          <w:b/>
          <w:bCs/>
          <w:sz w:val="21"/>
          <w:szCs w:val="21"/>
          <w:lang w:val="en-US" w:eastAsia="zh-CN"/>
        </w:rPr>
        <w:t>1.5 시스템 효율성 및 원형 시스템 분석</w:t>
      </w:r>
    </w:p>
    <w:p w14:paraId="3ED50AA5">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표6 AIB2PSec 처리 시간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2359"/>
        <w:gridCol w:w="3454"/>
      </w:tblGrid>
      <w:tr w14:paraId="4368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59" w:type="dxa"/>
            <w:shd w:val="clear" w:color="auto" w:fill="D9EAF7"/>
            <w:vAlign w:val="center"/>
          </w:tcPr>
          <w:p w14:paraId="124978E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처리 단계</w:t>
            </w:r>
          </w:p>
        </w:tc>
        <w:tc>
          <w:tcPr>
            <w:tcW w:w="2359" w:type="dxa"/>
            <w:shd w:val="clear" w:color="auto" w:fill="D9EAF7"/>
            <w:vAlign w:val="center"/>
          </w:tcPr>
          <w:p w14:paraId="700276B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결과</w:t>
            </w:r>
          </w:p>
        </w:tc>
        <w:tc>
          <w:tcPr>
            <w:tcW w:w="3454" w:type="dxa"/>
            <w:shd w:val="clear" w:color="auto" w:fill="D9EAF7"/>
            <w:vAlign w:val="center"/>
          </w:tcPr>
          <w:p w14:paraId="14020E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분석 의미</w:t>
            </w:r>
          </w:p>
        </w:tc>
      </w:tr>
      <w:tr w14:paraId="101BD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59" w:type="dxa"/>
            <w:vAlign w:val="center"/>
          </w:tcPr>
          <w:p w14:paraId="6256AA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JSON/Trace acquisition</w:t>
            </w:r>
          </w:p>
        </w:tc>
        <w:tc>
          <w:tcPr>
            <w:tcW w:w="2359" w:type="dxa"/>
            <w:vAlign w:val="center"/>
          </w:tcPr>
          <w:p w14:paraId="10EC6F5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≤4.73s</w:t>
            </w:r>
          </w:p>
        </w:tc>
        <w:tc>
          <w:tcPr>
            <w:tcW w:w="3454" w:type="dxa"/>
            <w:vAlign w:val="center"/>
          </w:tcPr>
          <w:p w14:paraId="560167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main chain-data access overhead</w:t>
            </w:r>
          </w:p>
        </w:tc>
      </w:tr>
      <w:tr w14:paraId="65ED6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59" w:type="dxa"/>
            <w:vAlign w:val="center"/>
          </w:tcPr>
          <w:p w14:paraId="46C7635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CSV construction</w:t>
            </w:r>
          </w:p>
        </w:tc>
        <w:tc>
          <w:tcPr>
            <w:tcW w:w="2359" w:type="dxa"/>
            <w:vAlign w:val="center"/>
          </w:tcPr>
          <w:p w14:paraId="01CE41B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≤57.3ms</w:t>
            </w:r>
          </w:p>
        </w:tc>
        <w:tc>
          <w:tcPr>
            <w:tcW w:w="3454" w:type="dxa"/>
            <w:vAlign w:val="center"/>
          </w:tcPr>
          <w:p w14:paraId="1A4F640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low preprocessing cost</w:t>
            </w:r>
          </w:p>
        </w:tc>
      </w:tr>
      <w:tr w14:paraId="473C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59" w:type="dxa"/>
            <w:vAlign w:val="center"/>
          </w:tcPr>
          <w:p w14:paraId="54220C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Natural-language generation</w:t>
            </w:r>
          </w:p>
        </w:tc>
        <w:tc>
          <w:tcPr>
            <w:tcW w:w="2359" w:type="dxa"/>
            <w:vAlign w:val="center"/>
          </w:tcPr>
          <w:p w14:paraId="3652DAE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≤227.3ms</w:t>
            </w:r>
          </w:p>
        </w:tc>
        <w:tc>
          <w:tcPr>
            <w:tcW w:w="3454" w:type="dxa"/>
            <w:vAlign w:val="center"/>
          </w:tcPr>
          <w:p w14:paraId="0B54F4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acceptable semantic-generation cost</w:t>
            </w:r>
          </w:p>
        </w:tc>
      </w:tr>
      <w:tr w14:paraId="40A8C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59" w:type="dxa"/>
            <w:vAlign w:val="center"/>
          </w:tcPr>
          <w:p w14:paraId="5021C54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LLM detection</w:t>
            </w:r>
          </w:p>
        </w:tc>
        <w:tc>
          <w:tcPr>
            <w:tcW w:w="2359" w:type="dxa"/>
            <w:vAlign w:val="center"/>
          </w:tcPr>
          <w:p w14:paraId="53E4C4F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≤6.07s</w:t>
            </w:r>
          </w:p>
        </w:tc>
        <w:tc>
          <w:tcPr>
            <w:tcW w:w="3454" w:type="dxa"/>
            <w:vAlign w:val="center"/>
          </w:tcPr>
          <w:p w14:paraId="4F6D29A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main inference cost</w:t>
            </w:r>
          </w:p>
        </w:tc>
      </w:tr>
      <w:tr w14:paraId="68E26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59" w:type="dxa"/>
            <w:vAlign w:val="center"/>
          </w:tcPr>
          <w:p w14:paraId="0DF43D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Full pipeline / 44 tx</w:t>
            </w:r>
          </w:p>
        </w:tc>
        <w:tc>
          <w:tcPr>
            <w:tcW w:w="2359" w:type="dxa"/>
            <w:vAlign w:val="center"/>
          </w:tcPr>
          <w:p w14:paraId="03476F4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≤11.72s</w:t>
            </w:r>
          </w:p>
        </w:tc>
        <w:tc>
          <w:tcPr>
            <w:tcW w:w="3454" w:type="dxa"/>
            <w:vAlign w:val="center"/>
          </w:tcPr>
          <w:p w14:paraId="0DF23B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near-real-time off-chain feasibility</w:t>
            </w:r>
          </w:p>
        </w:tc>
      </w:tr>
    </w:tbl>
    <w:p w14:paraId="341D61C3"/>
    <w:p w14:paraId="1D6858C9">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jc w:val="center"/>
        <w:textAlignment w:val="auto"/>
      </w:pPr>
      <w:r>
        <w:drawing>
          <wp:inline distT="0" distB="0" distL="114300" distR="114300">
            <wp:extent cx="5039995" cy="2339975"/>
            <wp:effectExtent l="0" t="0" r="1905" b="9525"/>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stretch>
                      <a:fillRect/>
                    </a:stretch>
                  </pic:blipFill>
                  <pic:spPr>
                    <a:xfrm>
                      <a:off x="0" y="0"/>
                      <a:ext cx="5039995" cy="2339975"/>
                    </a:xfrm>
                    <a:prstGeom prst="rect">
                      <a:avLst/>
                    </a:prstGeom>
                  </pic:spPr>
                </pic:pic>
              </a:graphicData>
            </a:graphic>
          </wp:inline>
        </w:drawing>
      </w:r>
    </w:p>
    <w:p w14:paraId="2D86B962">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그림5 처리 단계별 소요 시간</w:t>
      </w:r>
    </w:p>
    <w:p w14:paraId="6EFD8CB5">
      <w:pPr>
        <w:keepNext w:val="0"/>
        <w:keepLines w:val="0"/>
        <w:pageBreakBefore w:val="0"/>
        <w:widowControl/>
        <w:kinsoku/>
        <w:wordWrap/>
        <w:overflowPunct/>
        <w:topLinePunct w:val="0"/>
        <w:autoSpaceDE/>
        <w:autoSpaceDN/>
        <w:bidi w:val="0"/>
        <w:adjustRightInd/>
        <w:snapToGrid/>
        <w:spacing w:before="181" w:beforeLines="50"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44개 거래에 대한 전체 처리 시간은 11.72초 이하로 보고되었다. 이더리움의 평균 블록 생성 간격을 고려하면, AIB2PSec는 체인 밖 환경에서 준실시간 모니터링 가능성을 가진다. 주요 지연은 JSON/Trace 수집과 LLM 추론에서 발생하며, CSV 생성과 자연어 문단 생성 비용은 상대적으로 낮다.</w:t>
      </w:r>
    </w:p>
    <w:p w14:paraId="0FB7F1A8">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표7 AIB2PSec 원형 시스템 기능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0574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5" w:type="dxa"/>
            <w:shd w:val="clear" w:color="auto" w:fill="D9EAF7"/>
            <w:vAlign w:val="center"/>
          </w:tcPr>
          <w:p w14:paraId="7EEA13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시스템 모듈</w:t>
            </w:r>
          </w:p>
        </w:tc>
        <w:tc>
          <w:tcPr>
            <w:tcW w:w="2835" w:type="dxa"/>
            <w:shd w:val="clear" w:color="auto" w:fill="D9EAF7"/>
            <w:vAlign w:val="center"/>
          </w:tcPr>
          <w:p w14:paraId="21C9FE2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주요 기능</w:t>
            </w:r>
          </w:p>
        </w:tc>
        <w:tc>
          <w:tcPr>
            <w:tcW w:w="2835" w:type="dxa"/>
            <w:shd w:val="clear" w:color="auto" w:fill="D9EAF7"/>
            <w:vAlign w:val="center"/>
          </w:tcPr>
          <w:p w14:paraId="46B529D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결과 분석 의미</w:t>
            </w:r>
          </w:p>
        </w:tc>
      </w:tr>
      <w:tr w14:paraId="21A4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5" w:type="dxa"/>
            <w:vAlign w:val="center"/>
          </w:tcPr>
          <w:p w14:paraId="25A7D7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데이터 풀</w:t>
            </w:r>
          </w:p>
        </w:tc>
        <w:tc>
          <w:tcPr>
            <w:tcW w:w="2835" w:type="dxa"/>
            <w:vAlign w:val="center"/>
          </w:tcPr>
          <w:p w14:paraId="11CF01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거래 트리, opcode, 모델 데이터 저장</w:t>
            </w:r>
          </w:p>
        </w:tc>
        <w:tc>
          <w:tcPr>
            <w:tcW w:w="2835" w:type="dxa"/>
            <w:vAlign w:val="center"/>
          </w:tcPr>
          <w:p w14:paraId="144D5DE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탐지 과정 추적 가능성 확보</w:t>
            </w:r>
          </w:p>
        </w:tc>
      </w:tr>
      <w:tr w14:paraId="7FEFC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5" w:type="dxa"/>
            <w:vAlign w:val="center"/>
          </w:tcPr>
          <w:p w14:paraId="342B73B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비즈니스 유사도 식별</w:t>
            </w:r>
          </w:p>
        </w:tc>
        <w:tc>
          <w:tcPr>
            <w:tcW w:w="2835" w:type="dxa"/>
            <w:vAlign w:val="center"/>
          </w:tcPr>
          <w:p w14:paraId="0EF332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프로젝트 유형 및 유사 프로젝트 식별</w:t>
            </w:r>
          </w:p>
        </w:tc>
        <w:tc>
          <w:tcPr>
            <w:tcW w:w="2835" w:type="dxa"/>
            <w:vAlign w:val="center"/>
          </w:tcPr>
          <w:p w14:paraId="7C32863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위험 전파 경고 기반 제공</w:t>
            </w:r>
          </w:p>
        </w:tc>
      </w:tr>
      <w:tr w14:paraId="1CE8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5" w:type="dxa"/>
            <w:vAlign w:val="center"/>
          </w:tcPr>
          <w:p w14:paraId="404D50E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악성 탐지</w:t>
            </w:r>
          </w:p>
        </w:tc>
        <w:tc>
          <w:tcPr>
            <w:tcW w:w="2835" w:type="dxa"/>
            <w:vAlign w:val="center"/>
          </w:tcPr>
          <w:p w14:paraId="6A71D7F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거래 악성 여부 판단</w:t>
            </w:r>
          </w:p>
        </w:tc>
        <w:tc>
          <w:tcPr>
            <w:tcW w:w="2835" w:type="dxa"/>
            <w:vAlign w:val="center"/>
          </w:tcPr>
          <w:p w14:paraId="4868F0D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현재 프로젝트 위험 판단</w:t>
            </w:r>
          </w:p>
        </w:tc>
      </w:tr>
      <w:tr w14:paraId="0C96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5" w:type="dxa"/>
            <w:vAlign w:val="center"/>
          </w:tcPr>
          <w:p w14:paraId="7D4392B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경고 응답</w:t>
            </w:r>
          </w:p>
        </w:tc>
        <w:tc>
          <w:tcPr>
            <w:tcW w:w="2835" w:type="dxa"/>
            <w:vAlign w:val="center"/>
          </w:tcPr>
          <w:p w14:paraId="763909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피해 프로젝트 및 유사 프로젝트 경고</w:t>
            </w:r>
          </w:p>
        </w:tc>
        <w:tc>
          <w:tcPr>
            <w:tcW w:w="2835" w:type="dxa"/>
            <w:vAlign w:val="center"/>
          </w:tcPr>
          <w:p w14:paraId="5A8F7D5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탐지 결과를 보안 대응으로 연결</w:t>
            </w:r>
          </w:p>
        </w:tc>
      </w:tr>
      <w:tr w14:paraId="7843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5" w:type="dxa"/>
            <w:vAlign w:val="center"/>
          </w:tcPr>
          <w:p w14:paraId="5542B70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프로젝트 분류 페이지</w:t>
            </w:r>
          </w:p>
        </w:tc>
        <w:tc>
          <w:tcPr>
            <w:tcW w:w="2835" w:type="dxa"/>
            <w:vAlign w:val="center"/>
          </w:tcPr>
          <w:p w14:paraId="4BAFAE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업무 유형별 프로젝트 표시</w:t>
            </w:r>
          </w:p>
        </w:tc>
        <w:tc>
          <w:tcPr>
            <w:tcW w:w="2835" w:type="dxa"/>
            <w:vAlign w:val="center"/>
          </w:tcPr>
          <w:p w14:paraId="14CEBC5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프로젝트 수준 관리 지원</w:t>
            </w:r>
          </w:p>
        </w:tc>
      </w:tr>
      <w:tr w14:paraId="22167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5" w:type="dxa"/>
            <w:vAlign w:val="center"/>
          </w:tcPr>
          <w:p w14:paraId="3784474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악성 거래 목록</w:t>
            </w:r>
          </w:p>
        </w:tc>
        <w:tc>
          <w:tcPr>
            <w:tcW w:w="2835" w:type="dxa"/>
            <w:vAlign w:val="center"/>
          </w:tcPr>
          <w:p w14:paraId="60A46A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해시, 블록번호, 공격 유형 표시</w:t>
            </w:r>
          </w:p>
        </w:tc>
        <w:tc>
          <w:tcPr>
            <w:tcW w:w="2835" w:type="dxa"/>
            <w:vAlign w:val="center"/>
          </w:tcPr>
          <w:p w14:paraId="2A822E4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보안 감사 및 후속 분석 지원</w:t>
            </w:r>
          </w:p>
        </w:tc>
      </w:tr>
    </w:tbl>
    <w:p w14:paraId="344B9882"/>
    <w:p w14:paraId="64EAD002">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Malgun Gothic" w:hAnsi="Malgun Gothic" w:eastAsia="Malgun Gothic" w:cs="Malgun Gothic"/>
          <w:b/>
          <w:bCs/>
          <w:sz w:val="21"/>
          <w:szCs w:val="21"/>
          <w:lang w:val="en-US" w:eastAsia="zh-CN"/>
        </w:rPr>
      </w:pPr>
      <w:r>
        <w:rPr>
          <w:rFonts w:hint="eastAsia" w:ascii="Malgun Gothic" w:hAnsi="Malgun Gothic" w:eastAsia="Malgun Gothic" w:cs="Malgun Gothic"/>
          <w:b/>
          <w:bCs/>
          <w:sz w:val="21"/>
          <w:szCs w:val="21"/>
          <w:lang w:val="en-US" w:eastAsia="zh-CN"/>
        </w:rPr>
        <w:t>1.6 종합 분석과 결론</w:t>
      </w:r>
    </w:p>
    <w:p w14:paraId="7E597AF3">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jc w:val="center"/>
        <w:textAlignment w:val="auto"/>
      </w:pPr>
      <w:r>
        <w:drawing>
          <wp:inline distT="0" distB="0" distL="114300" distR="114300">
            <wp:extent cx="5039995" cy="2700020"/>
            <wp:effectExtent l="0" t="0" r="1905" b="508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stretch>
                      <a:fillRect/>
                    </a:stretch>
                  </pic:blipFill>
                  <pic:spPr>
                    <a:xfrm>
                      <a:off x="0" y="0"/>
                      <a:ext cx="5039995" cy="2700020"/>
                    </a:xfrm>
                    <a:prstGeom prst="rect">
                      <a:avLst/>
                    </a:prstGeom>
                  </pic:spPr>
                </pic:pic>
              </a:graphicData>
            </a:graphic>
          </wp:inline>
        </w:drawing>
      </w:r>
    </w:p>
    <w:p w14:paraId="2B016BB6">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그림6 실험 결과와 연구 결론의 연결</w:t>
      </w:r>
    </w:p>
    <w:p w14:paraId="29BDFC0B">
      <w:pPr>
        <w:keepNext w:val="0"/>
        <w:keepLines w:val="0"/>
        <w:pageBreakBefore w:val="0"/>
        <w:widowControl/>
        <w:kinsoku/>
        <w:wordWrap/>
        <w:overflowPunct/>
        <w:topLinePunct w:val="0"/>
        <w:autoSpaceDE/>
        <w:autoSpaceDN/>
        <w:bidi w:val="0"/>
        <w:adjustRightInd/>
        <w:snapToGrid/>
        <w:spacing w:before="181" w:beforeLines="50"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종합적으로 볼 때, GNN 결과는 프로젝트 구조 이해의 가능성을 보여주고, LLM 결과는 거래 의미 이해의 중요성을 보여준다. 시스템 효율 결과는 AIB2PSec가 체인 밖 환경에서 자동화된 감시와 경고를 수행할 가능성을 보여준다.</w:t>
      </w:r>
    </w:p>
    <w:p w14:paraId="7B9574E3">
      <w:pPr>
        <w:keepNext w:val="0"/>
        <w:keepLines w:val="0"/>
        <w:pageBreakBefore w:val="0"/>
        <w:widowControl/>
        <w:kinsoku/>
        <w:wordWrap/>
        <w:overflowPunct/>
        <w:topLinePunct w:val="0"/>
        <w:autoSpaceDE/>
        <w:autoSpaceDN/>
        <w:bidi w:val="0"/>
        <w:adjustRightInd/>
        <w:snapToGrid/>
        <w:spacing w:before="181" w:beforeLines="50"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본 연구의 핵심 결론은 구조 정보와 의미 정보가 상호 보완적이라는 점이다. GNN은 프로젝트 간 유사성을 식별하고, LLM은 거래 행위의 악성 여부를 판단하며, 원형 시스템은 이러한 결과를 프로젝트 수준 위험 경고로 연결한다. 따라서 AIB2PSec는 단일 계약 중심 보안 분석을 넘어 프로젝트 생태계 수준의 자동화 보안 대응 가능성을 제시한다.</w:t>
      </w:r>
    </w:p>
    <w:p w14:paraId="50D08AC2">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표8 실험 결과와 연구 결론 요약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4100"/>
        <w:gridCol w:w="3992"/>
      </w:tblGrid>
      <w:tr w14:paraId="6654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0" w:type="dxa"/>
            <w:shd w:val="clear" w:color="auto" w:fill="D9EAF7"/>
            <w:vAlign w:val="center"/>
          </w:tcPr>
          <w:p w14:paraId="62C90E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결과 층위</w:t>
            </w:r>
          </w:p>
        </w:tc>
        <w:tc>
          <w:tcPr>
            <w:tcW w:w="4100" w:type="dxa"/>
            <w:shd w:val="clear" w:color="auto" w:fill="D9EAF7"/>
            <w:vAlign w:val="center"/>
          </w:tcPr>
          <w:p w14:paraId="0CB1F1A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핵심 결과</w:t>
            </w:r>
          </w:p>
        </w:tc>
        <w:tc>
          <w:tcPr>
            <w:tcW w:w="3992" w:type="dxa"/>
            <w:shd w:val="clear" w:color="auto" w:fill="D9EAF7"/>
            <w:vAlign w:val="center"/>
          </w:tcPr>
          <w:p w14:paraId="133C6C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지원하는 결론</w:t>
            </w:r>
          </w:p>
        </w:tc>
      </w:tr>
      <w:tr w14:paraId="6907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0" w:type="dxa"/>
            <w:vAlign w:val="center"/>
          </w:tcPr>
          <w:p w14:paraId="0A5E6C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구조 인식</w:t>
            </w:r>
          </w:p>
        </w:tc>
        <w:tc>
          <w:tcPr>
            <w:tcW w:w="4100" w:type="dxa"/>
            <w:vAlign w:val="center"/>
          </w:tcPr>
          <w:p w14:paraId="69594F5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GCN 평균 F1=0.830</w:t>
            </w:r>
          </w:p>
        </w:tc>
        <w:tc>
          <w:tcPr>
            <w:tcW w:w="3992" w:type="dxa"/>
            <w:vAlign w:val="center"/>
          </w:tcPr>
          <w:p w14:paraId="630D95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비즈니스 주간선 그래프가 프로젝트 구조를 표현</w:t>
            </w:r>
          </w:p>
        </w:tc>
      </w:tr>
      <w:tr w14:paraId="2443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0" w:type="dxa"/>
            <w:vAlign w:val="center"/>
          </w:tcPr>
          <w:p w14:paraId="6997B4C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재사용 프로젝트</w:t>
            </w:r>
          </w:p>
        </w:tc>
        <w:tc>
          <w:tcPr>
            <w:tcW w:w="4100" w:type="dxa"/>
            <w:vAlign w:val="center"/>
          </w:tcPr>
          <w:p w14:paraId="626B877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코드 재사용 거래 약 37%, 최적 모델 약 78% 정확 분류</w:t>
            </w:r>
          </w:p>
        </w:tc>
        <w:tc>
          <w:tcPr>
            <w:tcW w:w="3992" w:type="dxa"/>
            <w:vAlign w:val="center"/>
          </w:tcPr>
          <w:p w14:paraId="1EA4726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유사 프로젝트 경고의 실제 기반 존재</w:t>
            </w:r>
          </w:p>
        </w:tc>
      </w:tr>
      <w:tr w14:paraId="37E1F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0" w:type="dxa"/>
            <w:vAlign w:val="center"/>
          </w:tcPr>
          <w:p w14:paraId="675B651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악성 탐지</w:t>
            </w:r>
          </w:p>
        </w:tc>
        <w:tc>
          <w:tcPr>
            <w:tcW w:w="4100" w:type="dxa"/>
            <w:vAlign w:val="center"/>
          </w:tcPr>
          <w:p w14:paraId="2321D89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전체 템플릿 F1=0.801</w:t>
            </w:r>
          </w:p>
        </w:tc>
        <w:tc>
          <w:tcPr>
            <w:tcW w:w="3992" w:type="dxa"/>
            <w:vAlign w:val="center"/>
          </w:tcPr>
          <w:p w14:paraId="1085F18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자연어 의미 강화와 핵심 경로 정보가 효과적</w:t>
            </w:r>
          </w:p>
        </w:tc>
      </w:tr>
      <w:tr w14:paraId="09B1A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0" w:type="dxa"/>
            <w:vAlign w:val="center"/>
          </w:tcPr>
          <w:p w14:paraId="650B709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공격 범위</w:t>
            </w:r>
          </w:p>
        </w:tc>
        <w:tc>
          <w:tcPr>
            <w:tcW w:w="4100" w:type="dxa"/>
            <w:vAlign w:val="center"/>
          </w:tcPr>
          <w:p w14:paraId="7E4302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여러 공격 유형 F1 약 0.775–0.832</w:t>
            </w:r>
          </w:p>
        </w:tc>
        <w:tc>
          <w:tcPr>
            <w:tcW w:w="3992" w:type="dxa"/>
            <w:vAlign w:val="center"/>
          </w:tcPr>
          <w:p w14:paraId="5637D56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다양한 공격 유형에 적용 가능</w:t>
            </w:r>
          </w:p>
        </w:tc>
      </w:tr>
      <w:tr w14:paraId="3BA8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0" w:type="dxa"/>
            <w:vAlign w:val="center"/>
          </w:tcPr>
          <w:p w14:paraId="6B30D4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시스템 효율</w:t>
            </w:r>
          </w:p>
        </w:tc>
        <w:tc>
          <w:tcPr>
            <w:tcW w:w="4100" w:type="dxa"/>
            <w:vAlign w:val="center"/>
          </w:tcPr>
          <w:p w14:paraId="143018B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44개 거래 ≤11.72초</w:t>
            </w:r>
          </w:p>
        </w:tc>
        <w:tc>
          <w:tcPr>
            <w:tcW w:w="3992" w:type="dxa"/>
            <w:vAlign w:val="center"/>
          </w:tcPr>
          <w:p w14:paraId="6C4E38B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체인 밖 준실시간 모니터링 가능</w:t>
            </w:r>
          </w:p>
        </w:tc>
      </w:tr>
    </w:tbl>
    <w:p w14:paraId="3D0A5A4A">
      <w:pPr>
        <w:keepNext w:val="0"/>
        <w:keepLines w:val="0"/>
        <w:pageBreakBefore w:val="0"/>
        <w:widowControl/>
        <w:kinsoku/>
        <w:wordWrap/>
        <w:overflowPunct/>
        <w:topLinePunct w:val="0"/>
        <w:autoSpaceDE/>
        <w:autoSpaceDN/>
        <w:bidi w:val="0"/>
        <w:adjustRightInd/>
        <w:snapToGrid/>
        <w:spacing w:before="181" w:beforeLines="50" w:after="0" w:line="360" w:lineRule="auto"/>
        <w:textAlignment w:val="auto"/>
        <w:rPr>
          <w:rFonts w:hint="eastAsia" w:ascii="Malgun Gothic" w:hAnsi="Malgun Gothic" w:eastAsia="Malgun Gothic" w:cs="Malgun Gothic"/>
          <w:b/>
          <w:bCs/>
          <w:sz w:val="21"/>
          <w:szCs w:val="21"/>
          <w:lang w:val="en-US" w:eastAsia="zh-CN"/>
        </w:rPr>
      </w:pPr>
      <w:r>
        <w:rPr>
          <w:rFonts w:hint="eastAsia" w:ascii="Malgun Gothic" w:hAnsi="Malgun Gothic" w:eastAsia="Malgun Gothic" w:cs="Malgun Gothic"/>
          <w:b/>
          <w:bCs/>
          <w:sz w:val="21"/>
          <w:szCs w:val="21"/>
          <w:lang w:val="en-US" w:eastAsia="zh-CN"/>
        </w:rPr>
        <w:t>1.7 한계 및 향후 개선 방향</w:t>
      </w:r>
    </w:p>
    <w:p w14:paraId="0F9854B8">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Malgun Gothic" w:hAnsi="Malgun Gothic" w:eastAsia="Malgun Gothic" w:cs="Malgun Gothic"/>
          <w:sz w:val="18"/>
          <w:szCs w:val="18"/>
        </w:rPr>
      </w:pPr>
      <w:r>
        <w:rPr>
          <w:rFonts w:hint="eastAsia" w:ascii="Malgun Gothic" w:hAnsi="Malgun Gothic" w:eastAsia="Malgun Gothic" w:cs="Malgun Gothic"/>
          <w:sz w:val="18"/>
          <w:szCs w:val="18"/>
        </w:rPr>
        <w:t>표9 한계 및 개선 방향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4016"/>
        <w:gridCol w:w="3715"/>
      </w:tblGrid>
      <w:tr w14:paraId="4D78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46" w:type="dxa"/>
            <w:shd w:val="clear" w:color="auto" w:fill="D9EAF7"/>
            <w:vAlign w:val="center"/>
          </w:tcPr>
          <w:p w14:paraId="3BAF9B1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한계</w:t>
            </w:r>
          </w:p>
        </w:tc>
        <w:tc>
          <w:tcPr>
            <w:tcW w:w="4016" w:type="dxa"/>
            <w:shd w:val="clear" w:color="auto" w:fill="D9EAF7"/>
            <w:vAlign w:val="center"/>
          </w:tcPr>
          <w:p w14:paraId="74D4918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구체적 영향</w:t>
            </w:r>
          </w:p>
        </w:tc>
        <w:tc>
          <w:tcPr>
            <w:tcW w:w="3715" w:type="dxa"/>
            <w:shd w:val="clear" w:color="auto" w:fill="D9EAF7"/>
            <w:vAlign w:val="center"/>
          </w:tcPr>
          <w:p w14:paraId="30A6485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개선 방향</w:t>
            </w:r>
          </w:p>
        </w:tc>
      </w:tr>
      <w:tr w14:paraId="7009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46" w:type="dxa"/>
            <w:vAlign w:val="center"/>
          </w:tcPr>
          <w:p w14:paraId="14E36F7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데이터 불균형</w:t>
            </w:r>
          </w:p>
        </w:tc>
        <w:tc>
          <w:tcPr>
            <w:tcW w:w="4016" w:type="dxa"/>
            <w:vAlign w:val="center"/>
          </w:tcPr>
          <w:p w14:paraId="5802B40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일부 프로젝트 유형 또는 공격 유형의 recall 저하 가능</w:t>
            </w:r>
          </w:p>
        </w:tc>
        <w:tc>
          <w:tcPr>
            <w:tcW w:w="3715" w:type="dxa"/>
            <w:vAlign w:val="center"/>
          </w:tcPr>
          <w:p w14:paraId="50BE58F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실제 공격 샘플 확장 및 재가중 학습</w:t>
            </w:r>
          </w:p>
        </w:tc>
      </w:tr>
      <w:tr w14:paraId="37DF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46" w:type="dxa"/>
            <w:vAlign w:val="center"/>
          </w:tcPr>
          <w:p w14:paraId="0C4DD44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시뮬레이션 거래 반복성</w:t>
            </w:r>
          </w:p>
        </w:tc>
        <w:tc>
          <w:tcPr>
            <w:tcW w:w="4016" w:type="dxa"/>
            <w:vAlign w:val="center"/>
          </w:tcPr>
          <w:p w14:paraId="6E8B4DA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모델 일반화 능력 제한 가능</w:t>
            </w:r>
          </w:p>
        </w:tc>
        <w:tc>
          <w:tcPr>
            <w:tcW w:w="3715" w:type="dxa"/>
            <w:vAlign w:val="center"/>
          </w:tcPr>
          <w:p w14:paraId="75037C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시뮬레이션 다양성 및 현실성 강화</w:t>
            </w:r>
          </w:p>
        </w:tc>
      </w:tr>
      <w:tr w14:paraId="36356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46" w:type="dxa"/>
            <w:vAlign w:val="center"/>
          </w:tcPr>
          <w:p w14:paraId="35FAA37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과거 거래 의존</w:t>
            </w:r>
          </w:p>
        </w:tc>
        <w:tc>
          <w:tcPr>
            <w:tcW w:w="4016" w:type="dxa"/>
            <w:vAlign w:val="center"/>
          </w:tcPr>
          <w:p w14:paraId="4E0172C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신규 또는 저활성 프로젝트의 주간선 그래프 불안정</w:t>
            </w:r>
          </w:p>
        </w:tc>
        <w:tc>
          <w:tcPr>
            <w:tcW w:w="3715" w:type="dxa"/>
            <w:vAlign w:val="center"/>
          </w:tcPr>
          <w:p w14:paraId="39B6813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증분 학습과 유사 프로젝트 전이 적용</w:t>
            </w:r>
          </w:p>
        </w:tc>
      </w:tr>
      <w:tr w14:paraId="6A28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46" w:type="dxa"/>
            <w:vAlign w:val="center"/>
          </w:tcPr>
          <w:p w14:paraId="5F13B39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자연어 설명 정보 밀도</w:t>
            </w:r>
          </w:p>
        </w:tc>
        <w:tc>
          <w:tcPr>
            <w:tcW w:w="4016" w:type="dxa"/>
            <w:vAlign w:val="center"/>
          </w:tcPr>
          <w:p w14:paraId="189F46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중요 정보가 긴 설명 속에 희석될 수 있음</w:t>
            </w:r>
          </w:p>
        </w:tc>
        <w:tc>
          <w:tcPr>
            <w:tcW w:w="3715" w:type="dxa"/>
            <w:vAlign w:val="center"/>
          </w:tcPr>
          <w:p w14:paraId="13B9A30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opcode-비즈니스 의미 템플릿 정교화</w:t>
            </w:r>
          </w:p>
        </w:tc>
      </w:tr>
      <w:tr w14:paraId="3C95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46" w:type="dxa"/>
            <w:vAlign w:val="center"/>
          </w:tcPr>
          <w:p w14:paraId="532877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LLM 추론 비용</w:t>
            </w:r>
          </w:p>
        </w:tc>
        <w:tc>
          <w:tcPr>
            <w:tcW w:w="4016" w:type="dxa"/>
            <w:vAlign w:val="center"/>
          </w:tcPr>
          <w:p w14:paraId="47694C0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대규모 실시간 배포 시 지연 증가</w:t>
            </w:r>
          </w:p>
        </w:tc>
        <w:tc>
          <w:tcPr>
            <w:tcW w:w="3715" w:type="dxa"/>
            <w:vAlign w:val="center"/>
          </w:tcPr>
          <w:p w14:paraId="0CE507F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경량 모델 1차 필터링 + LLM 심층 분석 구조</w:t>
            </w:r>
          </w:p>
        </w:tc>
      </w:tr>
      <w:tr w14:paraId="19FA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46" w:type="dxa"/>
            <w:vAlign w:val="center"/>
          </w:tcPr>
          <w:p w14:paraId="686D79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응답 메커니즘 제한</w:t>
            </w:r>
          </w:p>
        </w:tc>
        <w:tc>
          <w:tcPr>
            <w:tcW w:w="4016" w:type="dxa"/>
            <w:vAlign w:val="center"/>
          </w:tcPr>
          <w:p w14:paraId="59904A5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경고 이후 자동 대응이 제한적</w:t>
            </w:r>
          </w:p>
        </w:tc>
        <w:tc>
          <w:tcPr>
            <w:tcW w:w="3715" w:type="dxa"/>
            <w:vAlign w:val="center"/>
          </w:tcPr>
          <w:p w14:paraId="541945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Malgun Gothic" w:hAnsi="Malgun Gothic" w:eastAsia="Malgun Gothic" w:cs="Malgun Gothic"/>
                <w:b w:val="0"/>
                <w:sz w:val="15"/>
                <w:szCs w:val="15"/>
              </w:rPr>
            </w:pPr>
            <w:r>
              <w:rPr>
                <w:rFonts w:hint="eastAsia" w:ascii="Malgun Gothic" w:hAnsi="Malgun Gothic" w:eastAsia="Malgun Gothic" w:cs="Malgun Gothic"/>
                <w:b w:val="0"/>
                <w:sz w:val="15"/>
                <w:szCs w:val="15"/>
              </w:rPr>
              <w:t>프로젝트 측 인터페이스와 자동화 응답 모듈 확장</w:t>
            </w:r>
          </w:p>
        </w:tc>
      </w:tr>
    </w:tbl>
    <w:p w14:paraId="719D80AB">
      <w:pPr>
        <w:keepNext w:val="0"/>
        <w:keepLines w:val="0"/>
        <w:pageBreakBefore w:val="0"/>
        <w:widowControl/>
        <w:kinsoku/>
        <w:wordWrap/>
        <w:overflowPunct/>
        <w:topLinePunct w:val="0"/>
        <w:autoSpaceDE/>
        <w:autoSpaceDN/>
        <w:bidi w:val="0"/>
        <w:adjustRightInd/>
        <w:snapToGrid/>
        <w:spacing w:before="361" w:beforeLines="100"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향후 연구에서는 비즈니스 주간선 그래프 추출 알고리즘의 노이즈 제거 능력을 향상시키고, 자연어 거래 설명의 정보 밀도를 높이며, 경량화된 탐지 구조를 도입할 필요가 있다. 또한 다양한 체인 환경에서 장기 검증을 수행하여 시스템의 일반화 가능성을 높여야 한다.</w:t>
      </w:r>
    </w:p>
    <w:p w14:paraId="5997BA06">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Malgun Gothic" w:hAnsi="Malgun Gothic" w:eastAsia="Malgun Gothic" w:cs="Malgun Gothic"/>
          <w:b/>
          <w:bCs/>
          <w:sz w:val="21"/>
          <w:szCs w:val="21"/>
          <w:lang w:val="en-US" w:eastAsia="zh-CN"/>
        </w:rPr>
      </w:pPr>
    </w:p>
    <w:p w14:paraId="431C596C">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Malgun Gothic" w:hAnsi="Malgun Gothic" w:eastAsia="Malgun Gothic" w:cs="Malgun Gothic"/>
          <w:b/>
          <w:bCs/>
          <w:sz w:val="21"/>
          <w:szCs w:val="21"/>
          <w:lang w:val="en-US" w:eastAsia="zh-CN"/>
        </w:rPr>
      </w:pPr>
      <w:r>
        <w:rPr>
          <w:rFonts w:hint="eastAsia" w:ascii="Malgun Gothic" w:hAnsi="Malgun Gothic" w:eastAsia="Malgun Gothic" w:cs="Malgun Gothic"/>
          <w:b/>
          <w:bCs/>
          <w:sz w:val="21"/>
          <w:szCs w:val="21"/>
          <w:lang w:val="en-US" w:eastAsia="zh-CN"/>
        </w:rPr>
        <w:t>4.8 한국어 버전 결론</w:t>
      </w:r>
    </w:p>
    <w:p w14:paraId="3F42DCF0">
      <w:pPr>
        <w:keepNext w:val="0"/>
        <w:keepLines w:val="0"/>
        <w:pageBreakBefore w:val="0"/>
        <w:widowControl/>
        <w:kinsoku/>
        <w:wordWrap/>
        <w:overflowPunct/>
        <w:topLinePunct w:val="0"/>
        <w:autoSpaceDE/>
        <w:autoSpaceDN/>
        <w:bidi w:val="0"/>
        <w:adjustRightInd/>
        <w:snapToGrid/>
        <w:spacing w:before="361" w:beforeLines="100" w:after="0" w:line="360" w:lineRule="auto"/>
        <w:jc w:val="both"/>
        <w:textAlignment w:val="auto"/>
        <w:rPr>
          <w:rFonts w:hint="eastAsia" w:ascii="Malgun Gothic" w:hAnsi="Malgun Gothic" w:eastAsia="Malgun Gothic" w:cs="Malgun Gothic"/>
          <w:b w:val="0"/>
          <w:sz w:val="21"/>
          <w:szCs w:val="21"/>
        </w:rPr>
      </w:pPr>
      <w:r>
        <w:rPr>
          <w:rFonts w:hint="eastAsia" w:ascii="Malgun Gothic" w:hAnsi="Malgun Gothic" w:eastAsia="Malgun Gothic" w:cs="Malgun Gothic"/>
          <w:b w:val="0"/>
          <w:sz w:val="21"/>
          <w:szCs w:val="21"/>
        </w:rPr>
        <w:t>본 최종본은 논문 원문의 실험 결과와 11주차 결과·분석 요구를 결합하여 작성되었다. GCN 기반 비즈니스 유사도 식별은 프로젝트 구조 분석의 타당성을 보였고, LoRA-LLM 기반 악성 거래 탐지는 자연어 의미 강화의 효과를 보였다. 또한 원형 시스템은 체인 밖 준실시간 분석 가능성을 확인하였다. 결론적으로 AIB2PSec는 스마트 계약 프로젝트 수준의 자동화 악성 탐지와 유사 프로젝트 위험 경고를 위한 효과적인 접근 방식이다.</w:t>
      </w:r>
    </w:p>
    <w:p w14:paraId="4BD5DE31"/>
    <w:p w14:paraId="7394715A"/>
    <w:p w14:paraId="2BDF6B48"/>
    <w:p w14:paraId="31FD368A"/>
    <w:p w14:paraId="240B2A8F"/>
    <w:p w14:paraId="698C1598"/>
    <w:p w14:paraId="4CBF590C"/>
    <w:p w14:paraId="4F781A3A"/>
    <w:p w14:paraId="611F116E"/>
    <w:p w14:paraId="1F2DB484"/>
    <w:p w14:paraId="54C10769"/>
    <w:p w14:paraId="30E978AD"/>
    <w:p w14:paraId="67AFDA5C"/>
    <w:p w14:paraId="77B56EF3"/>
    <w:p w14:paraId="4D503D8A"/>
    <w:p w14:paraId="36A0179F"/>
    <w:p w14:paraId="6B7CA57F"/>
    <w:p w14:paraId="255A7C24"/>
    <w:p w14:paraId="683157B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heme="minorEastAsia" w:hAnsiTheme="minorEastAsia" w:cstheme="minorEastAsia"/>
          <w:b/>
          <w:bCs/>
          <w:sz w:val="21"/>
          <w:szCs w:val="21"/>
        </w:rPr>
      </w:pPr>
      <w:r>
        <w:rPr>
          <w:rFonts w:hint="default" w:asciiTheme="minorEastAsia" w:hAnsiTheme="minorEastAsia" w:cstheme="minorEastAsia"/>
          <w:b/>
          <w:bCs/>
          <w:sz w:val="21"/>
          <w:szCs w:val="21"/>
        </w:rPr>
        <w:t>一、中文版本：实验结果与分析</w:t>
      </w:r>
    </w:p>
    <w:p w14:paraId="5AED3BF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heme="minorEastAsia" w:hAnsiTheme="minorEastAsia" w:cstheme="minorEastAsia"/>
          <w:sz w:val="21"/>
          <w:szCs w:val="21"/>
        </w:rPr>
      </w:pPr>
      <w:r>
        <w:rPr>
          <w:rFonts w:hint="default" w:asciiTheme="minorEastAsia" w:hAnsiTheme="minorEastAsia" w:cstheme="minorEastAsia"/>
          <w:sz w:val="21"/>
          <w:szCs w:val="21"/>
          <w:lang w:val="en-US" w:eastAsia="zh-CN"/>
        </w:rPr>
        <w:t>1</w:t>
      </w:r>
      <w:r>
        <w:rPr>
          <w:rFonts w:hint="default" w:asciiTheme="minorEastAsia" w:hAnsiTheme="minorEastAsia" w:cstheme="minorEastAsia"/>
          <w:sz w:val="21"/>
          <w:szCs w:val="21"/>
        </w:rPr>
        <w:t>.1 结果分析目标与论文内容衔接</w:t>
      </w:r>
    </w:p>
    <w:p w14:paraId="2F0C3E47">
      <w:pPr>
        <w:keepNext w:val="0"/>
        <w:keepLines w:val="0"/>
        <w:pageBreakBefore w:val="0"/>
        <w:widowControl/>
        <w:kinsoku/>
        <w:wordWrap/>
        <w:overflowPunct/>
        <w:topLinePunct w:val="0"/>
        <w:autoSpaceDE/>
        <w:autoSpaceDN/>
        <w:bidi w:val="0"/>
        <w:adjustRightInd/>
        <w:snapToGrid/>
        <w:spacing w:after="0" w:line="360" w:lineRule="auto"/>
        <w:ind w:firstLine="420" w:firstLineChars="200"/>
        <w:jc w:val="both"/>
        <w:textAlignment w:val="auto"/>
        <w:rPr>
          <w:rFonts w:hint="default" w:asciiTheme="minorEastAsia" w:hAnsiTheme="minorEastAsia" w:cstheme="minorEastAsia"/>
          <w:sz w:val="21"/>
          <w:szCs w:val="21"/>
        </w:rPr>
      </w:pPr>
      <w:r>
        <w:rPr>
          <w:rFonts w:hint="default" w:asciiTheme="minorEastAsia" w:hAnsiTheme="minorEastAsia" w:cstheme="minorEastAsia"/>
          <w:sz w:val="21"/>
          <w:szCs w:val="21"/>
        </w:rPr>
        <w:t>本章以论文《基于人工智能的智能合约项目自动化恶意检测技术》为基础，将第三章“业务相似性识别技术”、第四章“恶意检测技术研究”和第五章</w:t>
      </w:r>
      <w:r>
        <w:rPr>
          <w:rFonts w:hint="default" w:ascii="Times New Roman" w:hAnsi="Times New Roman" w:cs="Times New Roman"/>
          <w:sz w:val="21"/>
          <w:szCs w:val="21"/>
        </w:rPr>
        <w:t>“AIB2PSec</w:t>
      </w:r>
      <w:r>
        <w:rPr>
          <w:rFonts w:hint="default" w:asciiTheme="minorEastAsia" w:hAnsiTheme="minorEastAsia" w:cstheme="minorEastAsia"/>
          <w:sz w:val="21"/>
          <w:szCs w:val="21"/>
        </w:rPr>
        <w:t>原型系统”的实验结果进行整合分析。论文的核心目标是利用“业务逻辑抽取 + 恶意交易识别 + 项目级威胁告警”的流程，从单合约漏洞检测扩展到智能合约项目级安全分析。</w:t>
      </w:r>
    </w:p>
    <w:p w14:paraId="3442FC0F">
      <w:pPr>
        <w:keepNext w:val="0"/>
        <w:keepLines w:val="0"/>
        <w:pageBreakBefore w:val="0"/>
        <w:widowControl/>
        <w:kinsoku/>
        <w:wordWrap/>
        <w:overflowPunct/>
        <w:topLinePunct w:val="0"/>
        <w:autoSpaceDE/>
        <w:autoSpaceDN/>
        <w:bidi w:val="0"/>
        <w:adjustRightInd/>
        <w:snapToGrid/>
        <w:spacing w:after="0" w:line="360" w:lineRule="auto"/>
        <w:ind w:firstLine="420" w:firstLineChars="200"/>
        <w:jc w:val="both"/>
        <w:textAlignment w:val="auto"/>
        <w:rPr>
          <w:rFonts w:hint="default" w:asciiTheme="minorEastAsia" w:hAnsiTheme="minorEastAsia" w:cstheme="minorEastAsia"/>
          <w:sz w:val="21"/>
          <w:szCs w:val="21"/>
        </w:rPr>
      </w:pPr>
      <w:r>
        <w:rPr>
          <w:rFonts w:hint="default" w:asciiTheme="minorEastAsia" w:hAnsiTheme="minorEastAsia" w:cstheme="minorEastAsia"/>
          <w:sz w:val="21"/>
          <w:szCs w:val="21"/>
        </w:rPr>
        <w:t>与传统代码审计或单合约静态分析不同，</w:t>
      </w:r>
      <w:r>
        <w:rPr>
          <w:rFonts w:hint="default" w:ascii="Times New Roman" w:hAnsi="Times New Roman" w:cs="Times New Roman"/>
          <w:sz w:val="21"/>
          <w:szCs w:val="21"/>
        </w:rPr>
        <w:t>AIB2PSec</w:t>
      </w:r>
      <w:r>
        <w:rPr>
          <w:rFonts w:hint="default" w:asciiTheme="minorEastAsia" w:hAnsiTheme="minorEastAsia" w:cstheme="minorEastAsia"/>
          <w:sz w:val="21"/>
          <w:szCs w:val="21"/>
        </w:rPr>
        <w:t>强调运行时数据、跨合约调用关系和交易执行语义。其结果分析应同时回答三个问题：第一，业务逻辑主干图是否能够表达项目结构；第二，交易字节码转自然语言后是否提升恶意检测能力；第三，系统是否能够在链下环境中完成准实时检测与预警。</w:t>
      </w:r>
    </w:p>
    <w:p w14:paraId="5820B6D0">
      <w:pPr>
        <w:keepNext w:val="0"/>
        <w:keepLines w:val="0"/>
        <w:pageBreakBefore w:val="0"/>
        <w:widowControl/>
        <w:kinsoku/>
        <w:wordWrap/>
        <w:overflowPunct/>
        <w:topLinePunct w:val="0"/>
        <w:autoSpaceDE/>
        <w:autoSpaceDN/>
        <w:bidi w:val="0"/>
        <w:adjustRightInd/>
        <w:snapToGrid/>
        <w:spacing w:after="0" w:line="360" w:lineRule="auto"/>
        <w:ind w:firstLine="420" w:firstLineChars="200"/>
        <w:jc w:val="both"/>
        <w:textAlignment w:val="auto"/>
        <w:rPr>
          <w:rFonts w:hint="default" w:asciiTheme="minorEastAsia" w:hAnsiTheme="minorEastAsia" w:cstheme="minorEastAsia"/>
          <w:sz w:val="21"/>
          <w:szCs w:val="21"/>
        </w:rPr>
      </w:pPr>
      <w:r>
        <w:rPr>
          <w:rFonts w:hint="default" w:asciiTheme="minorEastAsia" w:hAnsiTheme="minorEastAsia" w:cstheme="minorEastAsia"/>
          <w:sz w:val="21"/>
          <w:szCs w:val="21"/>
        </w:rPr>
        <w:t>因此，本章的分析逻辑不是简单展示数值，而是围绕“实验结果—结果趋势—原因解释—研究意义—局限与改进”展开，使第11周提交内容更接近正式论文中的结果分析章节。</w:t>
      </w:r>
    </w:p>
    <w:p w14:paraId="2E8F7745">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default" w:asciiTheme="minorEastAsia" w:hAnsiTheme="minorEastAsia" w:cstheme="minorEastAsia"/>
          <w:sz w:val="18"/>
          <w:szCs w:val="18"/>
        </w:rPr>
      </w:pPr>
      <w:r>
        <w:rPr>
          <w:rFonts w:hint="default" w:eastAsia="微软雅黑" w:asciiTheme="minorEastAsia" w:hAnsiTheme="minorEastAsia" w:cstheme="minorEastAsia"/>
          <w:b/>
          <w:sz w:val="18"/>
          <w:szCs w:val="18"/>
        </w:rPr>
        <w:t>表1 论文内容与结果分析范围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1"/>
        <w:gridCol w:w="2254"/>
        <w:gridCol w:w="3261"/>
        <w:gridCol w:w="3246"/>
      </w:tblGrid>
      <w:tr w14:paraId="6360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31" w:type="dxa"/>
            <w:shd w:val="clear" w:color="auto" w:fill="D9EAF7"/>
            <w:vAlign w:val="center"/>
          </w:tcPr>
          <w:p w14:paraId="062A885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sz w:val="15"/>
              </w:rPr>
              <w:t>分析层次</w:t>
            </w:r>
          </w:p>
        </w:tc>
        <w:tc>
          <w:tcPr>
            <w:tcW w:w="2254" w:type="dxa"/>
            <w:shd w:val="clear" w:color="auto" w:fill="D9EAF7"/>
            <w:vAlign w:val="center"/>
          </w:tcPr>
          <w:p w14:paraId="08B6457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sz w:val="15"/>
              </w:rPr>
              <w:t>对应论文内容</w:t>
            </w:r>
          </w:p>
        </w:tc>
        <w:tc>
          <w:tcPr>
            <w:tcW w:w="3261" w:type="dxa"/>
            <w:shd w:val="clear" w:color="auto" w:fill="D9EAF7"/>
            <w:vAlign w:val="center"/>
          </w:tcPr>
          <w:p w14:paraId="1F024C1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sz w:val="15"/>
              </w:rPr>
              <w:t>关键实验/系统结果</w:t>
            </w:r>
          </w:p>
        </w:tc>
        <w:tc>
          <w:tcPr>
            <w:tcW w:w="3246" w:type="dxa"/>
            <w:shd w:val="clear" w:color="auto" w:fill="D9EAF7"/>
            <w:vAlign w:val="center"/>
          </w:tcPr>
          <w:p w14:paraId="16FA4684">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sz w:val="15"/>
              </w:rPr>
              <w:t>分析重点</w:t>
            </w:r>
          </w:p>
        </w:tc>
      </w:tr>
      <w:tr w14:paraId="09FF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31" w:type="dxa"/>
            <w:vAlign w:val="center"/>
          </w:tcPr>
          <w:p w14:paraId="4D71C48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结构层</w:t>
            </w:r>
          </w:p>
        </w:tc>
        <w:tc>
          <w:tcPr>
            <w:tcW w:w="2254" w:type="dxa"/>
            <w:vAlign w:val="center"/>
          </w:tcPr>
          <w:p w14:paraId="555B831C">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第3章：业务相似性识别</w:t>
            </w:r>
          </w:p>
        </w:tc>
        <w:tc>
          <w:tcPr>
            <w:tcW w:w="3261" w:type="dxa"/>
            <w:vAlign w:val="center"/>
          </w:tcPr>
          <w:p w14:paraId="6596F25A">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GCN平均F1=0.830，五类项目表现较均衡</w:t>
            </w:r>
          </w:p>
        </w:tc>
        <w:tc>
          <w:tcPr>
            <w:tcW w:w="3246" w:type="dxa"/>
            <w:vAlign w:val="center"/>
          </w:tcPr>
          <w:p w14:paraId="0477A836">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验证业务主干图与GNN的项目结构表达能力</w:t>
            </w:r>
          </w:p>
        </w:tc>
      </w:tr>
      <w:tr w14:paraId="0882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31" w:type="dxa"/>
            <w:vAlign w:val="center"/>
          </w:tcPr>
          <w:p w14:paraId="39FCEC1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语义层</w:t>
            </w:r>
          </w:p>
        </w:tc>
        <w:tc>
          <w:tcPr>
            <w:tcW w:w="2254" w:type="dxa"/>
            <w:vAlign w:val="center"/>
          </w:tcPr>
          <w:p w14:paraId="300717A2">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第4章：恶意检测技术</w:t>
            </w:r>
          </w:p>
        </w:tc>
        <w:tc>
          <w:tcPr>
            <w:tcW w:w="3261" w:type="dxa"/>
            <w:vAlign w:val="center"/>
          </w:tcPr>
          <w:p w14:paraId="5C4CB3BE">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NLE+Graph+Attention模板F1=0.801</w:t>
            </w:r>
          </w:p>
        </w:tc>
        <w:tc>
          <w:tcPr>
            <w:tcW w:w="3246" w:type="dxa"/>
            <w:vAlign w:val="center"/>
          </w:tcPr>
          <w:p w14:paraId="64C9D9E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验证自然语言交易描述、图卷积与注意力增强的协同效果</w:t>
            </w:r>
          </w:p>
        </w:tc>
      </w:tr>
      <w:tr w14:paraId="2CF5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31" w:type="dxa"/>
            <w:vAlign w:val="center"/>
          </w:tcPr>
          <w:p w14:paraId="74A3E83D">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攻击覆盖</w:t>
            </w:r>
          </w:p>
        </w:tc>
        <w:tc>
          <w:tcPr>
            <w:tcW w:w="2254" w:type="dxa"/>
            <w:vAlign w:val="center"/>
          </w:tcPr>
          <w:p w14:paraId="5715736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第4章：攻击识别实验</w:t>
            </w:r>
          </w:p>
        </w:tc>
        <w:tc>
          <w:tcPr>
            <w:tcW w:w="3261" w:type="dxa"/>
            <w:vAlign w:val="center"/>
          </w:tcPr>
          <w:p w14:paraId="3C3783AA">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覆盖Reentrancy、Flashloan、DoS、Front Running、Integer Overflow</w:t>
            </w:r>
          </w:p>
        </w:tc>
        <w:tc>
          <w:tcPr>
            <w:tcW w:w="3246" w:type="dxa"/>
            <w:vAlign w:val="center"/>
          </w:tcPr>
          <w:p w14:paraId="79BDA720">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验证模型对多类攻击语义的适应性</w:t>
            </w:r>
          </w:p>
        </w:tc>
      </w:tr>
      <w:tr w14:paraId="5611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31" w:type="dxa"/>
            <w:vAlign w:val="center"/>
          </w:tcPr>
          <w:p w14:paraId="19929DD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系统层</w:t>
            </w:r>
          </w:p>
        </w:tc>
        <w:tc>
          <w:tcPr>
            <w:tcW w:w="2254" w:type="dxa"/>
            <w:vAlign w:val="center"/>
          </w:tcPr>
          <w:p w14:paraId="3B4C62F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第5章：AIB2PSec原型系统</w:t>
            </w:r>
          </w:p>
        </w:tc>
        <w:tc>
          <w:tcPr>
            <w:tcW w:w="3261" w:type="dxa"/>
            <w:vAlign w:val="center"/>
          </w:tcPr>
          <w:p w14:paraId="02E1F07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44条交易全流程≤11.72s</w:t>
            </w:r>
          </w:p>
        </w:tc>
        <w:tc>
          <w:tcPr>
            <w:tcW w:w="3246" w:type="dxa"/>
            <w:vAlign w:val="center"/>
          </w:tcPr>
          <w:p w14:paraId="13A01C5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验证链下准实时监测与项目级预警可行性</w:t>
            </w:r>
          </w:p>
        </w:tc>
      </w:tr>
      <w:tr w14:paraId="727B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31" w:type="dxa"/>
            <w:vAlign w:val="center"/>
          </w:tcPr>
          <w:p w14:paraId="33FC2CCC">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改进层</w:t>
            </w:r>
          </w:p>
        </w:tc>
        <w:tc>
          <w:tcPr>
            <w:tcW w:w="2254" w:type="dxa"/>
            <w:vAlign w:val="center"/>
          </w:tcPr>
          <w:p w14:paraId="4499855C">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第6章：总结与展望</w:t>
            </w:r>
          </w:p>
        </w:tc>
        <w:tc>
          <w:tcPr>
            <w:tcW w:w="3261" w:type="dxa"/>
            <w:vAlign w:val="center"/>
          </w:tcPr>
          <w:p w14:paraId="15917C6C">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信息密度、模型泛化和响应机制仍需优化</w:t>
            </w:r>
          </w:p>
        </w:tc>
        <w:tc>
          <w:tcPr>
            <w:tcW w:w="3246" w:type="dxa"/>
            <w:vAlign w:val="center"/>
          </w:tcPr>
          <w:p w14:paraId="1BB3523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明确后续研究方向</w:t>
            </w:r>
          </w:p>
        </w:tc>
      </w:tr>
    </w:tbl>
    <w:p w14:paraId="54D1FB9D">
      <w:pPr>
        <w:rPr>
          <w:rFonts w:ascii="微软雅黑" w:hAnsi="微软雅黑" w:eastAsia="微软雅黑"/>
          <w:b w:val="0"/>
          <w:sz w:val="21"/>
        </w:rPr>
      </w:pPr>
    </w:p>
    <w:p w14:paraId="3140BAB4">
      <w:pPr>
        <w:rPr>
          <w:rFonts w:hint="default" w:ascii="微软雅黑" w:hAnsi="微软雅黑" w:eastAsia="微软雅黑"/>
          <w:b w:val="0"/>
          <w:sz w:val="21"/>
          <w:lang w:val="en-US" w:eastAsia="zh-CN"/>
        </w:rPr>
      </w:pPr>
    </w:p>
    <w:p w14:paraId="280804C1">
      <w:pPr>
        <w:rPr>
          <w:rFonts w:hint="default" w:ascii="微软雅黑" w:hAnsi="微软雅黑" w:eastAsia="微软雅黑"/>
          <w:b w:val="0"/>
          <w:sz w:val="21"/>
          <w:lang w:val="en-US" w:eastAsia="zh-CN"/>
        </w:rPr>
      </w:pPr>
    </w:p>
    <w:p w14:paraId="619738B4">
      <w:pPr>
        <w:rPr>
          <w:rFonts w:hint="default" w:ascii="微软雅黑" w:hAnsi="微软雅黑" w:eastAsia="微软雅黑"/>
          <w:b w:val="0"/>
          <w:sz w:val="21"/>
          <w:lang w:val="en-US" w:eastAsia="zh-CN"/>
        </w:rPr>
      </w:pPr>
    </w:p>
    <w:p w14:paraId="6A1A7C18">
      <w:pPr>
        <w:rPr>
          <w:rFonts w:hint="default" w:ascii="微软雅黑" w:hAnsi="微软雅黑" w:eastAsia="微软雅黑"/>
          <w:b w:val="0"/>
          <w:sz w:val="21"/>
          <w:lang w:val="en-US" w:eastAsia="zh-CN"/>
        </w:rPr>
      </w:pPr>
    </w:p>
    <w:p w14:paraId="1C0626C0">
      <w:pPr>
        <w:rPr>
          <w:rFonts w:hint="default" w:ascii="微软雅黑" w:hAnsi="微软雅黑" w:eastAsia="微软雅黑"/>
          <w:b w:val="0"/>
          <w:sz w:val="21"/>
          <w:lang w:val="en-US" w:eastAsia="zh-CN"/>
        </w:rPr>
      </w:pPr>
      <w:r>
        <w:rPr>
          <w:rFonts w:hint="eastAsia"/>
          <w:b w:val="0"/>
          <w:sz w:val="21"/>
          <w:lang w:val="en-US" w:eastAsia="zh-CN"/>
        </w:rPr>
        <w:t>1</w:t>
      </w:r>
      <w:r>
        <w:rPr>
          <w:rFonts w:hint="default" w:ascii="微软雅黑" w:hAnsi="微软雅黑" w:eastAsia="微软雅黑"/>
          <w:b w:val="0"/>
          <w:sz w:val="21"/>
          <w:lang w:val="en-US" w:eastAsia="zh-CN"/>
        </w:rPr>
        <w:t>.2 AIB2PSec总体架构与结果分析框架</w:t>
      </w:r>
    </w:p>
    <w:p w14:paraId="524039A4">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drawing>
          <wp:inline distT="0" distB="0" distL="114300" distR="114300">
            <wp:extent cx="5400040" cy="2879725"/>
            <wp:effectExtent l="0" t="0" r="10160" b="317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400040" cy="2879725"/>
                    </a:xfrm>
                    <a:prstGeom prst="rect">
                      <a:avLst/>
                    </a:prstGeom>
                  </pic:spPr>
                </pic:pic>
              </a:graphicData>
            </a:graphic>
          </wp:inline>
        </w:drawing>
      </w:r>
    </w:p>
    <w:p w14:paraId="244CE344">
      <w:pPr>
        <w:jc w:val="center"/>
      </w:pPr>
      <w:r>
        <w:rPr>
          <w:rFonts w:ascii="微软雅黑" w:hAnsi="微软雅黑" w:eastAsia="微软雅黑"/>
          <w:b/>
          <w:sz w:val="18"/>
        </w:rPr>
        <w:t>图1 AIB2PSec结果分析综合架构</w:t>
      </w:r>
    </w:p>
    <w:p w14:paraId="5931E61F">
      <w:r>
        <w:rPr>
          <w:rFonts w:ascii="微软雅黑" w:hAnsi="微软雅黑" w:eastAsia="微软雅黑"/>
          <w:b w:val="0"/>
          <w:sz w:val="21"/>
        </w:rPr>
        <w:t>图1展示了AIB2PSec的最终结果分析结构。系统首先从以太坊链上交易、trace、opcode和内部调用中获取运行时数据。经过清洗、标签整理与训练/验证划分后，数据被输入两条分析路径：结构路径和语义路径。结构路径基于历史交易抽取项目业务逻辑主干图，并通过GNN识别项目业务类别与相似项目；语义路径将单笔交易的字节码还原为调用路径，再基于调用树生成自然语言描述，结合图卷积和自注意力机制形成增强模板，并通过LoRA微调后的Llama2-7B完成恶意检测。</w:t>
      </w:r>
    </w:p>
    <w:p w14:paraId="7F83F99A">
      <w:r>
        <w:rPr>
          <w:rFonts w:ascii="微软雅黑" w:hAnsi="微软雅黑" w:eastAsia="微软雅黑"/>
          <w:b w:val="0"/>
          <w:sz w:val="21"/>
        </w:rPr>
        <w:t>该架构体现了论文的核心贡献：一方面，项目业务相似度识别并不是依赖项目方公开的源码或地址信息，而是依赖交易执行中的稳定调用关系；另一方面，恶意检测也不是直接输入离散opcode，而是将调用路径、函数操作、状态变化和关键对象转化为更适合大语言模型理解的语义表达。最终，二者在融合层共同支撑项目级预警。</w:t>
      </w:r>
    </w:p>
    <w:p w14:paraId="398BC42E">
      <w:pPr>
        <w:rPr>
          <w:rFonts w:hint="eastAsia"/>
          <w:b w:val="0"/>
          <w:sz w:val="21"/>
          <w:lang w:val="en-US" w:eastAsia="zh-CN"/>
        </w:rPr>
      </w:pPr>
      <w:r>
        <w:rPr>
          <w:rFonts w:hint="eastAsia"/>
          <w:b w:val="0"/>
          <w:sz w:val="21"/>
          <w:lang w:val="en-US" w:eastAsia="zh-CN"/>
        </w:rPr>
        <w:t>1.3 业务相似度识别实验结果分析</w:t>
      </w:r>
    </w:p>
    <w:p w14:paraId="508E48C3">
      <w:pPr>
        <w:rPr>
          <w:rFonts w:hint="eastAsia"/>
          <w:b w:val="0"/>
          <w:sz w:val="21"/>
          <w:lang w:val="en-US" w:eastAsia="zh-CN"/>
        </w:rPr>
      </w:pPr>
      <w:r>
        <w:rPr>
          <w:rFonts w:hint="eastAsia"/>
          <w:b w:val="0"/>
          <w:sz w:val="21"/>
          <w:lang w:val="en-US" w:eastAsia="zh-CN"/>
        </w:rPr>
        <w:t>1.3.1 数据来源、任务设置与特征构建</w:t>
      </w:r>
    </w:p>
    <w:p w14:paraId="0EE60ADA">
      <w:r>
        <w:rPr>
          <w:rFonts w:ascii="微软雅黑" w:hAnsi="微软雅黑" w:eastAsia="微软雅黑"/>
          <w:b w:val="0"/>
          <w:sz w:val="21"/>
        </w:rPr>
        <w:t>业务相似度识别实验使用静态数据和动态数据。静态数据包括项目地址、合约代码和业务标签，论文通过Etherscan API、label数据集和DappRadar等来源整理了5万多个标签、6万多个DeFi相关地址和3000多个智能合约项目。动态数据包括2020年1月至2022年12月期间超过8亿笔以太坊交易的内部调用、trace和opcode执行信息。</w:t>
      </w:r>
    </w:p>
    <w:p w14:paraId="60AD3B94">
      <w:r>
        <w:rPr>
          <w:rFonts w:ascii="微软雅黑" w:hAnsi="微软雅黑" w:eastAsia="微软雅黑"/>
          <w:b w:val="0"/>
          <w:sz w:val="21"/>
        </w:rPr>
        <w:t>实验覆盖DEX、Lending、Yield、NFT和Insurance五类智能合约项目。每个项目的历史交易被还原为合约间调用路径，系统通过入度、出度、交易频度、交易金额与操作码嵌入等特征构建异构图输入。论文中节点特征包括入度、出度、入边权重、出边权重和操作码语义嵌入，边特征则包含调用类型、交易频度和归一化权重。</w:t>
      </w:r>
    </w:p>
    <w:p w14:paraId="6081C72D">
      <w:pPr>
        <w:jc w:val="center"/>
      </w:pPr>
      <w:r>
        <w:rPr>
          <w:rFonts w:ascii="微软雅黑" w:hAnsi="微软雅黑" w:eastAsia="微软雅黑"/>
          <w:b/>
          <w:sz w:val="18"/>
        </w:rPr>
        <w:t>表2 业务相似度识别数据与特征构成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7"/>
        <w:gridCol w:w="4417"/>
        <w:gridCol w:w="3076"/>
      </w:tblGrid>
      <w:tr w14:paraId="6D5E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7" w:type="dxa"/>
            <w:shd w:val="clear" w:color="auto" w:fill="D9EAF7"/>
            <w:vAlign w:val="center"/>
          </w:tcPr>
          <w:p w14:paraId="3B4DF680">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sz w:val="15"/>
              </w:rPr>
              <w:t>数据/特征类型</w:t>
            </w:r>
          </w:p>
        </w:tc>
        <w:tc>
          <w:tcPr>
            <w:tcW w:w="4417" w:type="dxa"/>
            <w:shd w:val="clear" w:color="auto" w:fill="D9EAF7"/>
            <w:vAlign w:val="center"/>
          </w:tcPr>
          <w:p w14:paraId="16639C36">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sz w:val="15"/>
              </w:rPr>
              <w:t>内容</w:t>
            </w:r>
          </w:p>
        </w:tc>
        <w:tc>
          <w:tcPr>
            <w:tcW w:w="3076" w:type="dxa"/>
            <w:shd w:val="clear" w:color="auto" w:fill="D9EAF7"/>
            <w:vAlign w:val="center"/>
          </w:tcPr>
          <w:p w14:paraId="7DFC92C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sz w:val="15"/>
              </w:rPr>
              <w:t>在实验中的作用</w:t>
            </w:r>
          </w:p>
        </w:tc>
      </w:tr>
      <w:tr w14:paraId="57128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7" w:type="dxa"/>
            <w:vAlign w:val="center"/>
          </w:tcPr>
          <w:p w14:paraId="50683E2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静态数据</w:t>
            </w:r>
          </w:p>
        </w:tc>
        <w:tc>
          <w:tcPr>
            <w:tcW w:w="4417" w:type="dxa"/>
            <w:vAlign w:val="center"/>
          </w:tcPr>
          <w:p w14:paraId="4D19039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合约代码、项目地址、业务标签</w:t>
            </w:r>
          </w:p>
        </w:tc>
        <w:tc>
          <w:tcPr>
            <w:tcW w:w="3076" w:type="dxa"/>
            <w:vAlign w:val="center"/>
          </w:tcPr>
          <w:p w14:paraId="585F46F0">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提供项目类别与监督学习标签</w:t>
            </w:r>
          </w:p>
        </w:tc>
      </w:tr>
      <w:tr w14:paraId="21B1F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7" w:type="dxa"/>
            <w:vAlign w:val="center"/>
          </w:tcPr>
          <w:p w14:paraId="488D4C4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动态数据</w:t>
            </w:r>
          </w:p>
        </w:tc>
        <w:tc>
          <w:tcPr>
            <w:tcW w:w="4417" w:type="dxa"/>
            <w:vAlign w:val="center"/>
          </w:tcPr>
          <w:p w14:paraId="3A4BFAE0">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内部调用、trace、opcode执行记录</w:t>
            </w:r>
          </w:p>
        </w:tc>
        <w:tc>
          <w:tcPr>
            <w:tcW w:w="3076" w:type="dxa"/>
            <w:vAlign w:val="center"/>
          </w:tcPr>
          <w:p w14:paraId="1B51155C">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恢复项目真实运行时调用结构</w:t>
            </w:r>
          </w:p>
        </w:tc>
      </w:tr>
      <w:tr w14:paraId="6DD5F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7" w:type="dxa"/>
            <w:vAlign w:val="center"/>
          </w:tcPr>
          <w:p w14:paraId="355BA73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节点特征</w:t>
            </w:r>
          </w:p>
        </w:tc>
        <w:tc>
          <w:tcPr>
            <w:tcW w:w="4417" w:type="dxa"/>
            <w:vAlign w:val="center"/>
          </w:tcPr>
          <w:p w14:paraId="036C1B9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入度、出度、入边权值、出边权值、opcode语义嵌入</w:t>
            </w:r>
          </w:p>
        </w:tc>
        <w:tc>
          <w:tcPr>
            <w:tcW w:w="3076" w:type="dxa"/>
            <w:vAlign w:val="center"/>
          </w:tcPr>
          <w:p w14:paraId="35E8CA9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表达智能合约在项目中的结构与功能角色</w:t>
            </w:r>
          </w:p>
        </w:tc>
      </w:tr>
      <w:tr w14:paraId="2E2A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7" w:type="dxa"/>
            <w:vAlign w:val="center"/>
          </w:tcPr>
          <w:p w14:paraId="79FC80D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边特征</w:t>
            </w:r>
          </w:p>
        </w:tc>
        <w:tc>
          <w:tcPr>
            <w:tcW w:w="4417" w:type="dxa"/>
            <w:vAlign w:val="center"/>
          </w:tcPr>
          <w:p w14:paraId="556691A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调用类型、交易频度、交易金额或归一化权重</w:t>
            </w:r>
          </w:p>
        </w:tc>
        <w:tc>
          <w:tcPr>
            <w:tcW w:w="3076" w:type="dxa"/>
            <w:vAlign w:val="center"/>
          </w:tcPr>
          <w:p w14:paraId="243009F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表达合约间交互强度与调用属性</w:t>
            </w:r>
          </w:p>
        </w:tc>
      </w:tr>
      <w:tr w14:paraId="5C027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7" w:type="dxa"/>
            <w:vAlign w:val="center"/>
          </w:tcPr>
          <w:p w14:paraId="14C1915C">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项目类别</w:t>
            </w:r>
          </w:p>
        </w:tc>
        <w:tc>
          <w:tcPr>
            <w:tcW w:w="4417" w:type="dxa"/>
            <w:vAlign w:val="center"/>
          </w:tcPr>
          <w:p w14:paraId="2139686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DEX、Lending、Yield、NFT、Insurance</w:t>
            </w:r>
          </w:p>
        </w:tc>
        <w:tc>
          <w:tcPr>
            <w:tcW w:w="3076" w:type="dxa"/>
            <w:vAlign w:val="center"/>
          </w:tcPr>
          <w:p w14:paraId="55B14F5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微软雅黑" w:hAnsi="微软雅黑" w:eastAsia="微软雅黑"/>
                <w:b w:val="0"/>
                <w:sz w:val="15"/>
              </w:rPr>
              <w:t>验证模型对不同业务逻辑的泛化能力</w:t>
            </w:r>
          </w:p>
        </w:tc>
      </w:tr>
    </w:tbl>
    <w:p w14:paraId="08D1D38E"/>
    <w:p w14:paraId="23EE0DC9">
      <w:pPr>
        <w:rPr>
          <w:rFonts w:hint="eastAsia"/>
          <w:b w:val="0"/>
          <w:sz w:val="21"/>
          <w:lang w:val="en-US" w:eastAsia="zh-CN"/>
        </w:rPr>
      </w:pPr>
      <w:r>
        <w:rPr>
          <w:rFonts w:hint="eastAsia"/>
          <w:b w:val="0"/>
          <w:sz w:val="21"/>
          <w:lang w:val="en-US" w:eastAsia="zh-CN"/>
        </w:rPr>
        <w:t>1.3.2 GNN整体模型结果</w:t>
      </w:r>
    </w:p>
    <w:p w14:paraId="09912D18">
      <w:pPr>
        <w:jc w:val="center"/>
      </w:pPr>
      <w:r>
        <w:rPr>
          <w:rFonts w:ascii="微软雅黑" w:hAnsi="微软雅黑" w:eastAsia="微软雅黑"/>
          <w:b/>
          <w:sz w:val="18"/>
        </w:rPr>
        <w:t>表3 GNN业务相似度识别平均结果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8"/>
        <w:gridCol w:w="1958"/>
        <w:gridCol w:w="1958"/>
        <w:gridCol w:w="1958"/>
        <w:gridCol w:w="1958"/>
      </w:tblGrid>
      <w:tr w14:paraId="12A6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shd w:val="clear" w:color="auto" w:fill="D9EAF7"/>
            <w:vAlign w:val="center"/>
          </w:tcPr>
          <w:p w14:paraId="50E017D2">
            <w:pPr>
              <w:spacing w:after="0" w:line="240" w:lineRule="auto"/>
            </w:pPr>
            <w:r>
              <w:rPr>
                <w:rFonts w:ascii="微软雅黑" w:hAnsi="微软雅黑" w:eastAsia="微软雅黑"/>
                <w:b/>
                <w:sz w:val="15"/>
              </w:rPr>
              <w:t>模型</w:t>
            </w:r>
          </w:p>
        </w:tc>
        <w:tc>
          <w:tcPr>
            <w:tcW w:w="1958" w:type="dxa"/>
            <w:shd w:val="clear" w:color="auto" w:fill="D9EAF7"/>
            <w:vAlign w:val="center"/>
          </w:tcPr>
          <w:p w14:paraId="38B4A693">
            <w:pPr>
              <w:spacing w:after="0" w:line="240" w:lineRule="auto"/>
            </w:pPr>
            <w:r>
              <w:rPr>
                <w:rFonts w:ascii="微软雅黑" w:hAnsi="微软雅黑" w:eastAsia="微软雅黑"/>
                <w:b/>
                <w:sz w:val="15"/>
              </w:rPr>
              <w:t>Precision</w:t>
            </w:r>
          </w:p>
        </w:tc>
        <w:tc>
          <w:tcPr>
            <w:tcW w:w="1958" w:type="dxa"/>
            <w:shd w:val="clear" w:color="auto" w:fill="D9EAF7"/>
            <w:vAlign w:val="center"/>
          </w:tcPr>
          <w:p w14:paraId="6071D06D">
            <w:pPr>
              <w:spacing w:after="0" w:line="240" w:lineRule="auto"/>
            </w:pPr>
            <w:r>
              <w:rPr>
                <w:rFonts w:ascii="微软雅黑" w:hAnsi="微软雅黑" w:eastAsia="微软雅黑"/>
                <w:b/>
                <w:sz w:val="15"/>
              </w:rPr>
              <w:t>Recall</w:t>
            </w:r>
          </w:p>
        </w:tc>
        <w:tc>
          <w:tcPr>
            <w:tcW w:w="1958" w:type="dxa"/>
            <w:shd w:val="clear" w:color="auto" w:fill="D9EAF7"/>
            <w:vAlign w:val="center"/>
          </w:tcPr>
          <w:p w14:paraId="1CF27F78">
            <w:pPr>
              <w:spacing w:after="0" w:line="240" w:lineRule="auto"/>
            </w:pPr>
            <w:r>
              <w:rPr>
                <w:rFonts w:ascii="微软雅黑" w:hAnsi="微软雅黑" w:eastAsia="微软雅黑"/>
                <w:b/>
                <w:sz w:val="15"/>
              </w:rPr>
              <w:t>F1-score</w:t>
            </w:r>
          </w:p>
        </w:tc>
        <w:tc>
          <w:tcPr>
            <w:tcW w:w="1958" w:type="dxa"/>
            <w:shd w:val="clear" w:color="auto" w:fill="D9EAF7"/>
            <w:vAlign w:val="center"/>
          </w:tcPr>
          <w:p w14:paraId="4CBC87DD">
            <w:pPr>
              <w:spacing w:after="0" w:line="240" w:lineRule="auto"/>
            </w:pPr>
            <w:r>
              <w:rPr>
                <w:rFonts w:ascii="微软雅黑" w:hAnsi="微软雅黑" w:eastAsia="微软雅黑"/>
                <w:b/>
                <w:sz w:val="15"/>
              </w:rPr>
              <w:t>结果解释</w:t>
            </w:r>
          </w:p>
        </w:tc>
      </w:tr>
      <w:tr w14:paraId="0E44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014F829A">
            <w:pPr>
              <w:spacing w:after="0" w:line="240" w:lineRule="auto"/>
            </w:pPr>
            <w:r>
              <w:rPr>
                <w:rFonts w:ascii="微软雅黑" w:hAnsi="微软雅黑" w:eastAsia="微软雅黑"/>
                <w:b w:val="0"/>
                <w:sz w:val="15"/>
              </w:rPr>
              <w:t>GCN</w:t>
            </w:r>
          </w:p>
        </w:tc>
        <w:tc>
          <w:tcPr>
            <w:tcW w:w="1958" w:type="dxa"/>
            <w:vAlign w:val="center"/>
          </w:tcPr>
          <w:p w14:paraId="1565E546">
            <w:pPr>
              <w:spacing w:after="0" w:line="240" w:lineRule="auto"/>
            </w:pPr>
            <w:r>
              <w:rPr>
                <w:rFonts w:ascii="微软雅黑" w:hAnsi="微软雅黑" w:eastAsia="微软雅黑"/>
                <w:b w:val="0"/>
                <w:sz w:val="15"/>
              </w:rPr>
              <w:t>0.838</w:t>
            </w:r>
          </w:p>
        </w:tc>
        <w:tc>
          <w:tcPr>
            <w:tcW w:w="1958" w:type="dxa"/>
            <w:vAlign w:val="center"/>
          </w:tcPr>
          <w:p w14:paraId="295D0321">
            <w:pPr>
              <w:spacing w:after="0" w:line="240" w:lineRule="auto"/>
            </w:pPr>
            <w:r>
              <w:rPr>
                <w:rFonts w:ascii="微软雅黑" w:hAnsi="微软雅黑" w:eastAsia="微软雅黑"/>
                <w:b w:val="0"/>
                <w:sz w:val="15"/>
              </w:rPr>
              <w:t>0.822</w:t>
            </w:r>
          </w:p>
        </w:tc>
        <w:tc>
          <w:tcPr>
            <w:tcW w:w="1958" w:type="dxa"/>
            <w:vAlign w:val="center"/>
          </w:tcPr>
          <w:p w14:paraId="1FF534C9">
            <w:pPr>
              <w:spacing w:after="0" w:line="240" w:lineRule="auto"/>
            </w:pPr>
            <w:r>
              <w:rPr>
                <w:rFonts w:ascii="微软雅黑" w:hAnsi="微软雅黑" w:eastAsia="微软雅黑"/>
                <w:b w:val="0"/>
                <w:sz w:val="15"/>
              </w:rPr>
              <w:t>0.830</w:t>
            </w:r>
          </w:p>
        </w:tc>
        <w:tc>
          <w:tcPr>
            <w:tcW w:w="1958" w:type="dxa"/>
            <w:vAlign w:val="center"/>
          </w:tcPr>
          <w:p w14:paraId="7D20A49C">
            <w:pPr>
              <w:spacing w:after="0" w:line="240" w:lineRule="auto"/>
            </w:pPr>
            <w:r>
              <w:rPr>
                <w:rFonts w:ascii="微软雅黑" w:hAnsi="微软雅黑" w:eastAsia="微软雅黑"/>
                <w:b w:val="0"/>
                <w:sz w:val="15"/>
              </w:rPr>
              <w:t>最优：稳定聚合跨合约调用关系</w:t>
            </w:r>
          </w:p>
        </w:tc>
      </w:tr>
      <w:tr w14:paraId="2AC21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7942C98E">
            <w:pPr>
              <w:spacing w:after="0" w:line="240" w:lineRule="auto"/>
            </w:pPr>
            <w:r>
              <w:rPr>
                <w:rFonts w:ascii="微软雅黑" w:hAnsi="微软雅黑" w:eastAsia="微软雅黑"/>
                <w:b w:val="0"/>
                <w:sz w:val="15"/>
              </w:rPr>
              <w:t>SAGE</w:t>
            </w:r>
          </w:p>
        </w:tc>
        <w:tc>
          <w:tcPr>
            <w:tcW w:w="1958" w:type="dxa"/>
            <w:vAlign w:val="center"/>
          </w:tcPr>
          <w:p w14:paraId="21E9A627">
            <w:pPr>
              <w:spacing w:after="0" w:line="240" w:lineRule="auto"/>
            </w:pPr>
            <w:r>
              <w:rPr>
                <w:rFonts w:ascii="微软雅黑" w:hAnsi="微软雅黑" w:eastAsia="微软雅黑"/>
                <w:b w:val="0"/>
                <w:sz w:val="15"/>
              </w:rPr>
              <w:t>0.627</w:t>
            </w:r>
          </w:p>
        </w:tc>
        <w:tc>
          <w:tcPr>
            <w:tcW w:w="1958" w:type="dxa"/>
            <w:vAlign w:val="center"/>
          </w:tcPr>
          <w:p w14:paraId="13D804E6">
            <w:pPr>
              <w:spacing w:after="0" w:line="240" w:lineRule="auto"/>
            </w:pPr>
            <w:r>
              <w:rPr>
                <w:rFonts w:ascii="微软雅黑" w:hAnsi="微软雅黑" w:eastAsia="微软雅黑"/>
                <w:b w:val="0"/>
                <w:sz w:val="15"/>
              </w:rPr>
              <w:t>0.630</w:t>
            </w:r>
          </w:p>
        </w:tc>
        <w:tc>
          <w:tcPr>
            <w:tcW w:w="1958" w:type="dxa"/>
            <w:vAlign w:val="center"/>
          </w:tcPr>
          <w:p w14:paraId="2478914F">
            <w:pPr>
              <w:spacing w:after="0" w:line="240" w:lineRule="auto"/>
            </w:pPr>
            <w:r>
              <w:rPr>
                <w:rFonts w:ascii="微软雅黑" w:hAnsi="微软雅黑" w:eastAsia="微软雅黑"/>
                <w:b w:val="0"/>
                <w:sz w:val="15"/>
              </w:rPr>
              <w:t>0.628</w:t>
            </w:r>
          </w:p>
        </w:tc>
        <w:tc>
          <w:tcPr>
            <w:tcW w:w="1958" w:type="dxa"/>
            <w:vAlign w:val="center"/>
          </w:tcPr>
          <w:p w14:paraId="0594B8D1">
            <w:pPr>
              <w:spacing w:after="0" w:line="240" w:lineRule="auto"/>
            </w:pPr>
            <w:r>
              <w:rPr>
                <w:rFonts w:ascii="微软雅黑" w:hAnsi="微软雅黑" w:eastAsia="微软雅黑"/>
                <w:b w:val="0"/>
                <w:sz w:val="15"/>
              </w:rPr>
              <w:t>采样可能丢失关键节点</w:t>
            </w:r>
          </w:p>
        </w:tc>
      </w:tr>
      <w:tr w14:paraId="287A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665162BE">
            <w:pPr>
              <w:spacing w:after="0" w:line="240" w:lineRule="auto"/>
            </w:pPr>
            <w:r>
              <w:rPr>
                <w:rFonts w:ascii="微软雅黑" w:hAnsi="微软雅黑" w:eastAsia="微软雅黑"/>
                <w:b w:val="0"/>
                <w:sz w:val="15"/>
              </w:rPr>
              <w:t>GAT</w:t>
            </w:r>
          </w:p>
        </w:tc>
        <w:tc>
          <w:tcPr>
            <w:tcW w:w="1958" w:type="dxa"/>
            <w:vAlign w:val="center"/>
          </w:tcPr>
          <w:p w14:paraId="19C52BF7">
            <w:pPr>
              <w:spacing w:after="0" w:line="240" w:lineRule="auto"/>
            </w:pPr>
            <w:r>
              <w:rPr>
                <w:rFonts w:ascii="微软雅黑" w:hAnsi="微软雅黑" w:eastAsia="微软雅黑"/>
                <w:b w:val="0"/>
                <w:sz w:val="15"/>
              </w:rPr>
              <w:t>0.763</w:t>
            </w:r>
          </w:p>
        </w:tc>
        <w:tc>
          <w:tcPr>
            <w:tcW w:w="1958" w:type="dxa"/>
            <w:vAlign w:val="center"/>
          </w:tcPr>
          <w:p w14:paraId="4C09BB77">
            <w:pPr>
              <w:spacing w:after="0" w:line="240" w:lineRule="auto"/>
            </w:pPr>
            <w:r>
              <w:rPr>
                <w:rFonts w:ascii="微软雅黑" w:hAnsi="微软雅黑" w:eastAsia="微软雅黑"/>
                <w:b w:val="0"/>
                <w:sz w:val="15"/>
              </w:rPr>
              <w:t>0.646</w:t>
            </w:r>
          </w:p>
        </w:tc>
        <w:tc>
          <w:tcPr>
            <w:tcW w:w="1958" w:type="dxa"/>
            <w:vAlign w:val="center"/>
          </w:tcPr>
          <w:p w14:paraId="775710D9">
            <w:pPr>
              <w:spacing w:after="0" w:line="240" w:lineRule="auto"/>
            </w:pPr>
            <w:r>
              <w:rPr>
                <w:rFonts w:ascii="微软雅黑" w:hAnsi="微软雅黑" w:eastAsia="微软雅黑"/>
                <w:b w:val="0"/>
                <w:sz w:val="15"/>
              </w:rPr>
              <w:t>0.699</w:t>
            </w:r>
          </w:p>
        </w:tc>
        <w:tc>
          <w:tcPr>
            <w:tcW w:w="1958" w:type="dxa"/>
            <w:vAlign w:val="center"/>
          </w:tcPr>
          <w:p w14:paraId="5EB8F69F">
            <w:pPr>
              <w:spacing w:after="0" w:line="240" w:lineRule="auto"/>
            </w:pPr>
            <w:r>
              <w:rPr>
                <w:rFonts w:ascii="微软雅黑" w:hAnsi="微软雅黑" w:eastAsia="微软雅黑"/>
                <w:b w:val="0"/>
                <w:sz w:val="15"/>
              </w:rPr>
              <w:t>注意力机制有效但召回偏低</w:t>
            </w:r>
          </w:p>
        </w:tc>
      </w:tr>
      <w:tr w14:paraId="740E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43FD5C8E">
            <w:pPr>
              <w:spacing w:after="0" w:line="240" w:lineRule="auto"/>
            </w:pPr>
            <w:r>
              <w:rPr>
                <w:rFonts w:ascii="微软雅黑" w:hAnsi="微软雅黑" w:eastAsia="微软雅黑"/>
                <w:b w:val="0"/>
                <w:sz w:val="15"/>
              </w:rPr>
              <w:t>GIN</w:t>
            </w:r>
          </w:p>
        </w:tc>
        <w:tc>
          <w:tcPr>
            <w:tcW w:w="1958" w:type="dxa"/>
            <w:vAlign w:val="center"/>
          </w:tcPr>
          <w:p w14:paraId="63D51B92">
            <w:pPr>
              <w:spacing w:after="0" w:line="240" w:lineRule="auto"/>
            </w:pPr>
            <w:r>
              <w:rPr>
                <w:rFonts w:ascii="微软雅黑" w:hAnsi="微软雅黑" w:eastAsia="微软雅黑"/>
                <w:b w:val="0"/>
                <w:sz w:val="15"/>
              </w:rPr>
              <w:t>0.662</w:t>
            </w:r>
          </w:p>
        </w:tc>
        <w:tc>
          <w:tcPr>
            <w:tcW w:w="1958" w:type="dxa"/>
            <w:vAlign w:val="center"/>
          </w:tcPr>
          <w:p w14:paraId="209D8DE5">
            <w:pPr>
              <w:spacing w:after="0" w:line="240" w:lineRule="auto"/>
            </w:pPr>
            <w:r>
              <w:rPr>
                <w:rFonts w:ascii="微软雅黑" w:hAnsi="微软雅黑" w:eastAsia="微软雅黑"/>
                <w:b w:val="0"/>
                <w:sz w:val="15"/>
              </w:rPr>
              <w:t>0.756</w:t>
            </w:r>
          </w:p>
        </w:tc>
        <w:tc>
          <w:tcPr>
            <w:tcW w:w="1958" w:type="dxa"/>
            <w:vAlign w:val="center"/>
          </w:tcPr>
          <w:p w14:paraId="4F04DAE5">
            <w:pPr>
              <w:spacing w:after="0" w:line="240" w:lineRule="auto"/>
            </w:pPr>
            <w:r>
              <w:rPr>
                <w:rFonts w:ascii="微软雅黑" w:hAnsi="微软雅黑" w:eastAsia="微软雅黑"/>
                <w:b w:val="0"/>
                <w:sz w:val="15"/>
              </w:rPr>
              <w:t>0.704</w:t>
            </w:r>
          </w:p>
        </w:tc>
        <w:tc>
          <w:tcPr>
            <w:tcW w:w="1958" w:type="dxa"/>
            <w:vAlign w:val="center"/>
          </w:tcPr>
          <w:p w14:paraId="449CE52F">
            <w:pPr>
              <w:spacing w:after="0" w:line="240" w:lineRule="auto"/>
            </w:pPr>
            <w:r>
              <w:rPr>
                <w:rFonts w:ascii="微软雅黑" w:hAnsi="微软雅黑" w:eastAsia="微软雅黑"/>
                <w:b w:val="0"/>
                <w:sz w:val="15"/>
              </w:rPr>
              <w:t>局部结构表达较好但整体低于GCN</w:t>
            </w:r>
          </w:p>
        </w:tc>
      </w:tr>
    </w:tbl>
    <w:p w14:paraId="38256AF5"/>
    <w:p w14:paraId="0593E7B7">
      <w:r>
        <w:drawing>
          <wp:inline distT="0" distB="0" distL="114300" distR="114300">
            <wp:extent cx="5669280" cy="30988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3098953"/>
                    </a:xfrm>
                    <a:prstGeom prst="rect">
                      <a:avLst/>
                    </a:prstGeom>
                  </pic:spPr>
                </pic:pic>
              </a:graphicData>
            </a:graphic>
          </wp:inline>
        </w:drawing>
      </w:r>
    </w:p>
    <w:p w14:paraId="3F61E2C2">
      <w:pPr>
        <w:jc w:val="center"/>
      </w:pPr>
      <w:r>
        <w:rPr>
          <w:rFonts w:ascii="微软雅黑" w:hAnsi="微软雅黑" w:eastAsia="微软雅黑"/>
          <w:b/>
          <w:sz w:val="18"/>
        </w:rPr>
        <w:t>图2 GNN模型平均Precision、Recall与F1-score对比</w:t>
      </w:r>
    </w:p>
    <w:p w14:paraId="7D29F829">
      <w:r>
        <w:rPr>
          <w:rFonts w:ascii="微软雅黑" w:hAnsi="微软雅黑" w:eastAsia="微软雅黑"/>
          <w:b w:val="0"/>
          <w:sz w:val="21"/>
        </w:rPr>
        <w:t>结果显示，GCN平均F1-score达到0.830，明显优于SAGE、GAT和GIN。该结果说明，智能合约项目的运行时调用结构具有稳定的图模式，GCN的邻居聚合机制能够有效捕捉项目内部多合约协同关系。相比之下，SAGE虽然降低了计算压力，但邻居采样可能丢失关键合约节点；GAT能够分配节点注意力权重，但在噪声调用或小规模主干图下可能出现权重不稳定；GIN对局部结构有一定表达能力，但整体稳定性低于GCN。</w:t>
      </w:r>
    </w:p>
    <w:p w14:paraId="1F853D91">
      <w:pPr>
        <w:jc w:val="center"/>
      </w:pPr>
      <w:r>
        <w:rPr>
          <w:rFonts w:ascii="微软雅黑" w:hAnsi="微软雅黑" w:eastAsia="微软雅黑"/>
          <w:b/>
          <w:sz w:val="18"/>
        </w:rPr>
        <w:t>表4 不同项目类别下的业务相似度识别结果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1399"/>
        <w:gridCol w:w="1399"/>
        <w:gridCol w:w="1399"/>
        <w:gridCol w:w="1399"/>
        <w:gridCol w:w="1399"/>
        <w:gridCol w:w="1399"/>
      </w:tblGrid>
      <w:tr w14:paraId="651F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9" w:type="dxa"/>
            <w:shd w:val="clear" w:color="auto" w:fill="D9EAF7"/>
            <w:vAlign w:val="center"/>
          </w:tcPr>
          <w:p w14:paraId="0C62299E">
            <w:pPr>
              <w:spacing w:after="0" w:line="240" w:lineRule="auto"/>
            </w:pPr>
            <w:r>
              <w:rPr>
                <w:rFonts w:ascii="微软雅黑" w:hAnsi="微软雅黑" w:eastAsia="微软雅黑"/>
                <w:b/>
                <w:sz w:val="15"/>
              </w:rPr>
              <w:t>类别</w:t>
            </w:r>
          </w:p>
        </w:tc>
        <w:tc>
          <w:tcPr>
            <w:tcW w:w="1399" w:type="dxa"/>
            <w:shd w:val="clear" w:color="auto" w:fill="D9EAF7"/>
            <w:vAlign w:val="center"/>
          </w:tcPr>
          <w:p w14:paraId="30DE67E9">
            <w:pPr>
              <w:spacing w:after="0" w:line="240" w:lineRule="auto"/>
            </w:pPr>
            <w:r>
              <w:rPr>
                <w:rFonts w:ascii="微软雅黑" w:hAnsi="微软雅黑" w:eastAsia="微软雅黑"/>
                <w:b/>
                <w:sz w:val="15"/>
              </w:rPr>
              <w:t>GCN-P</w:t>
            </w:r>
          </w:p>
        </w:tc>
        <w:tc>
          <w:tcPr>
            <w:tcW w:w="1399" w:type="dxa"/>
            <w:shd w:val="clear" w:color="auto" w:fill="D9EAF7"/>
            <w:vAlign w:val="center"/>
          </w:tcPr>
          <w:p w14:paraId="262BE108">
            <w:pPr>
              <w:spacing w:after="0" w:line="240" w:lineRule="auto"/>
            </w:pPr>
            <w:r>
              <w:rPr>
                <w:rFonts w:ascii="微软雅黑" w:hAnsi="微软雅黑" w:eastAsia="微软雅黑"/>
                <w:b/>
                <w:sz w:val="15"/>
              </w:rPr>
              <w:t>GCN-R</w:t>
            </w:r>
          </w:p>
        </w:tc>
        <w:tc>
          <w:tcPr>
            <w:tcW w:w="1399" w:type="dxa"/>
            <w:shd w:val="clear" w:color="auto" w:fill="D9EAF7"/>
            <w:vAlign w:val="center"/>
          </w:tcPr>
          <w:p w14:paraId="006F9144">
            <w:pPr>
              <w:spacing w:after="0" w:line="240" w:lineRule="auto"/>
            </w:pPr>
            <w:r>
              <w:rPr>
                <w:rFonts w:ascii="微软雅黑" w:hAnsi="微软雅黑" w:eastAsia="微软雅黑"/>
                <w:b/>
                <w:sz w:val="15"/>
              </w:rPr>
              <w:t>GCN-F1</w:t>
            </w:r>
          </w:p>
        </w:tc>
        <w:tc>
          <w:tcPr>
            <w:tcW w:w="1399" w:type="dxa"/>
            <w:shd w:val="clear" w:color="auto" w:fill="D9EAF7"/>
            <w:vAlign w:val="center"/>
          </w:tcPr>
          <w:p w14:paraId="5C019F0F">
            <w:pPr>
              <w:spacing w:after="0" w:line="240" w:lineRule="auto"/>
            </w:pPr>
            <w:r>
              <w:rPr>
                <w:rFonts w:ascii="微软雅黑" w:hAnsi="微软雅黑" w:eastAsia="微软雅黑"/>
                <w:b/>
                <w:sz w:val="15"/>
              </w:rPr>
              <w:t>SAGE-F1</w:t>
            </w:r>
          </w:p>
        </w:tc>
        <w:tc>
          <w:tcPr>
            <w:tcW w:w="1399" w:type="dxa"/>
            <w:shd w:val="clear" w:color="auto" w:fill="D9EAF7"/>
            <w:vAlign w:val="center"/>
          </w:tcPr>
          <w:p w14:paraId="4ED667D7">
            <w:pPr>
              <w:spacing w:after="0" w:line="240" w:lineRule="auto"/>
            </w:pPr>
            <w:r>
              <w:rPr>
                <w:rFonts w:ascii="微软雅黑" w:hAnsi="微软雅黑" w:eastAsia="微软雅黑"/>
                <w:b/>
                <w:sz w:val="15"/>
              </w:rPr>
              <w:t>GAT-F1</w:t>
            </w:r>
          </w:p>
        </w:tc>
        <w:tc>
          <w:tcPr>
            <w:tcW w:w="1399" w:type="dxa"/>
            <w:shd w:val="clear" w:color="auto" w:fill="D9EAF7"/>
            <w:vAlign w:val="center"/>
          </w:tcPr>
          <w:p w14:paraId="42732751">
            <w:pPr>
              <w:spacing w:after="0" w:line="240" w:lineRule="auto"/>
            </w:pPr>
            <w:r>
              <w:rPr>
                <w:rFonts w:ascii="微软雅黑" w:hAnsi="微软雅黑" w:eastAsia="微软雅黑"/>
                <w:b/>
                <w:sz w:val="15"/>
              </w:rPr>
              <w:t>GIN-F1</w:t>
            </w:r>
          </w:p>
        </w:tc>
      </w:tr>
      <w:tr w14:paraId="68CD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9" w:type="dxa"/>
            <w:vAlign w:val="center"/>
          </w:tcPr>
          <w:p w14:paraId="5BC9CA76">
            <w:pPr>
              <w:spacing w:after="0" w:line="240" w:lineRule="auto"/>
            </w:pPr>
            <w:r>
              <w:rPr>
                <w:rFonts w:ascii="微软雅黑" w:hAnsi="微软雅黑" w:eastAsia="微软雅黑"/>
                <w:b w:val="0"/>
                <w:sz w:val="15"/>
              </w:rPr>
              <w:t>DEX</w:t>
            </w:r>
          </w:p>
        </w:tc>
        <w:tc>
          <w:tcPr>
            <w:tcW w:w="1399" w:type="dxa"/>
            <w:vAlign w:val="center"/>
          </w:tcPr>
          <w:p w14:paraId="2A390DF5">
            <w:pPr>
              <w:spacing w:after="0" w:line="240" w:lineRule="auto"/>
            </w:pPr>
            <w:r>
              <w:rPr>
                <w:rFonts w:ascii="微软雅黑" w:hAnsi="微软雅黑" w:eastAsia="微软雅黑"/>
                <w:b w:val="0"/>
                <w:sz w:val="15"/>
              </w:rPr>
              <w:t>0.830</w:t>
            </w:r>
          </w:p>
        </w:tc>
        <w:tc>
          <w:tcPr>
            <w:tcW w:w="1399" w:type="dxa"/>
            <w:vAlign w:val="center"/>
          </w:tcPr>
          <w:p w14:paraId="50003A55">
            <w:pPr>
              <w:spacing w:after="0" w:line="240" w:lineRule="auto"/>
            </w:pPr>
            <w:r>
              <w:rPr>
                <w:rFonts w:ascii="微软雅黑" w:hAnsi="微软雅黑" w:eastAsia="微软雅黑"/>
                <w:b w:val="0"/>
                <w:sz w:val="15"/>
              </w:rPr>
              <w:t>0.835</w:t>
            </w:r>
          </w:p>
        </w:tc>
        <w:tc>
          <w:tcPr>
            <w:tcW w:w="1399" w:type="dxa"/>
            <w:vAlign w:val="center"/>
          </w:tcPr>
          <w:p w14:paraId="049E11D5">
            <w:pPr>
              <w:spacing w:after="0" w:line="240" w:lineRule="auto"/>
            </w:pPr>
            <w:r>
              <w:rPr>
                <w:rFonts w:ascii="微软雅黑" w:hAnsi="微软雅黑" w:eastAsia="微软雅黑"/>
                <w:b w:val="0"/>
                <w:sz w:val="15"/>
              </w:rPr>
              <w:t>0.833</w:t>
            </w:r>
          </w:p>
        </w:tc>
        <w:tc>
          <w:tcPr>
            <w:tcW w:w="1399" w:type="dxa"/>
            <w:vAlign w:val="center"/>
          </w:tcPr>
          <w:p w14:paraId="293E7A79">
            <w:pPr>
              <w:spacing w:after="0" w:line="240" w:lineRule="auto"/>
            </w:pPr>
            <w:r>
              <w:rPr>
                <w:rFonts w:ascii="微软雅黑" w:hAnsi="微软雅黑" w:eastAsia="微软雅黑"/>
                <w:b w:val="0"/>
                <w:sz w:val="15"/>
              </w:rPr>
              <w:t>0.624</w:t>
            </w:r>
          </w:p>
        </w:tc>
        <w:tc>
          <w:tcPr>
            <w:tcW w:w="1399" w:type="dxa"/>
            <w:vAlign w:val="center"/>
          </w:tcPr>
          <w:p w14:paraId="1541CD66">
            <w:pPr>
              <w:spacing w:after="0" w:line="240" w:lineRule="auto"/>
            </w:pPr>
            <w:r>
              <w:rPr>
                <w:rFonts w:ascii="微软雅黑" w:hAnsi="微软雅黑" w:eastAsia="微软雅黑"/>
                <w:b w:val="0"/>
                <w:sz w:val="15"/>
              </w:rPr>
              <w:t>0.720</w:t>
            </w:r>
          </w:p>
        </w:tc>
        <w:tc>
          <w:tcPr>
            <w:tcW w:w="1399" w:type="dxa"/>
            <w:vAlign w:val="center"/>
          </w:tcPr>
          <w:p w14:paraId="32F9FA27">
            <w:pPr>
              <w:spacing w:after="0" w:line="240" w:lineRule="auto"/>
            </w:pPr>
            <w:r>
              <w:rPr>
                <w:rFonts w:ascii="微软雅黑" w:hAnsi="微软雅黑" w:eastAsia="微软雅黑"/>
                <w:b w:val="0"/>
                <w:sz w:val="15"/>
              </w:rPr>
              <w:t>0.688</w:t>
            </w:r>
          </w:p>
        </w:tc>
      </w:tr>
      <w:tr w14:paraId="4DB1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9" w:type="dxa"/>
            <w:vAlign w:val="center"/>
          </w:tcPr>
          <w:p w14:paraId="024A2FE5">
            <w:pPr>
              <w:spacing w:after="0" w:line="240" w:lineRule="auto"/>
            </w:pPr>
            <w:r>
              <w:rPr>
                <w:rFonts w:ascii="微软雅黑" w:hAnsi="微软雅黑" w:eastAsia="微软雅黑"/>
                <w:b w:val="0"/>
                <w:sz w:val="15"/>
              </w:rPr>
              <w:t>Lending</w:t>
            </w:r>
          </w:p>
        </w:tc>
        <w:tc>
          <w:tcPr>
            <w:tcW w:w="1399" w:type="dxa"/>
            <w:vAlign w:val="center"/>
          </w:tcPr>
          <w:p w14:paraId="07E8729D">
            <w:pPr>
              <w:spacing w:after="0" w:line="240" w:lineRule="auto"/>
            </w:pPr>
            <w:r>
              <w:rPr>
                <w:rFonts w:ascii="微软雅黑" w:hAnsi="微软雅黑" w:eastAsia="微软雅黑"/>
                <w:b w:val="0"/>
                <w:sz w:val="15"/>
              </w:rPr>
              <w:t>0.846</w:t>
            </w:r>
          </w:p>
        </w:tc>
        <w:tc>
          <w:tcPr>
            <w:tcW w:w="1399" w:type="dxa"/>
            <w:vAlign w:val="center"/>
          </w:tcPr>
          <w:p w14:paraId="620E983D">
            <w:pPr>
              <w:spacing w:after="0" w:line="240" w:lineRule="auto"/>
            </w:pPr>
            <w:r>
              <w:rPr>
                <w:rFonts w:ascii="微软雅黑" w:hAnsi="微软雅黑" w:eastAsia="微软雅黑"/>
                <w:b w:val="0"/>
                <w:sz w:val="15"/>
              </w:rPr>
              <w:t>0.846</w:t>
            </w:r>
          </w:p>
        </w:tc>
        <w:tc>
          <w:tcPr>
            <w:tcW w:w="1399" w:type="dxa"/>
            <w:vAlign w:val="center"/>
          </w:tcPr>
          <w:p w14:paraId="47DDE03B">
            <w:pPr>
              <w:spacing w:after="0" w:line="240" w:lineRule="auto"/>
            </w:pPr>
            <w:r>
              <w:rPr>
                <w:rFonts w:ascii="微软雅黑" w:hAnsi="微软雅黑" w:eastAsia="微软雅黑"/>
                <w:b w:val="0"/>
                <w:sz w:val="15"/>
              </w:rPr>
              <w:t>0.846</w:t>
            </w:r>
          </w:p>
        </w:tc>
        <w:tc>
          <w:tcPr>
            <w:tcW w:w="1399" w:type="dxa"/>
            <w:vAlign w:val="center"/>
          </w:tcPr>
          <w:p w14:paraId="2719E99A">
            <w:pPr>
              <w:spacing w:after="0" w:line="240" w:lineRule="auto"/>
            </w:pPr>
            <w:r>
              <w:rPr>
                <w:rFonts w:ascii="微软雅黑" w:hAnsi="微软雅黑" w:eastAsia="微软雅黑"/>
                <w:b w:val="0"/>
                <w:sz w:val="15"/>
              </w:rPr>
              <w:t>0.633</w:t>
            </w:r>
          </w:p>
        </w:tc>
        <w:tc>
          <w:tcPr>
            <w:tcW w:w="1399" w:type="dxa"/>
            <w:vAlign w:val="center"/>
          </w:tcPr>
          <w:p w14:paraId="62C8D13B">
            <w:pPr>
              <w:spacing w:after="0" w:line="240" w:lineRule="auto"/>
            </w:pPr>
            <w:r>
              <w:rPr>
                <w:rFonts w:ascii="微软雅黑" w:hAnsi="微软雅黑" w:eastAsia="微软雅黑"/>
                <w:b w:val="0"/>
                <w:sz w:val="15"/>
              </w:rPr>
              <w:t>0.690</w:t>
            </w:r>
          </w:p>
        </w:tc>
        <w:tc>
          <w:tcPr>
            <w:tcW w:w="1399" w:type="dxa"/>
            <w:vAlign w:val="center"/>
          </w:tcPr>
          <w:p w14:paraId="35694E4F">
            <w:pPr>
              <w:spacing w:after="0" w:line="240" w:lineRule="auto"/>
            </w:pPr>
            <w:r>
              <w:rPr>
                <w:rFonts w:ascii="微软雅黑" w:hAnsi="微软雅黑" w:eastAsia="微软雅黑"/>
                <w:b w:val="0"/>
                <w:sz w:val="15"/>
              </w:rPr>
              <w:t>0.781</w:t>
            </w:r>
          </w:p>
        </w:tc>
      </w:tr>
      <w:tr w14:paraId="36307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9" w:type="dxa"/>
            <w:vAlign w:val="center"/>
          </w:tcPr>
          <w:p w14:paraId="62730A0F">
            <w:pPr>
              <w:spacing w:after="0" w:line="240" w:lineRule="auto"/>
            </w:pPr>
            <w:r>
              <w:rPr>
                <w:rFonts w:ascii="微软雅黑" w:hAnsi="微软雅黑" w:eastAsia="微软雅黑"/>
                <w:b w:val="0"/>
                <w:sz w:val="15"/>
              </w:rPr>
              <w:t>Yield</w:t>
            </w:r>
          </w:p>
        </w:tc>
        <w:tc>
          <w:tcPr>
            <w:tcW w:w="1399" w:type="dxa"/>
            <w:vAlign w:val="center"/>
          </w:tcPr>
          <w:p w14:paraId="290190BA">
            <w:pPr>
              <w:spacing w:after="0" w:line="240" w:lineRule="auto"/>
            </w:pPr>
            <w:r>
              <w:rPr>
                <w:rFonts w:ascii="微软雅黑" w:hAnsi="微软雅黑" w:eastAsia="微软雅黑"/>
                <w:b w:val="0"/>
                <w:sz w:val="15"/>
              </w:rPr>
              <w:t>0.827</w:t>
            </w:r>
          </w:p>
        </w:tc>
        <w:tc>
          <w:tcPr>
            <w:tcW w:w="1399" w:type="dxa"/>
            <w:vAlign w:val="center"/>
          </w:tcPr>
          <w:p w14:paraId="75C7ECE5">
            <w:pPr>
              <w:spacing w:after="0" w:line="240" w:lineRule="auto"/>
            </w:pPr>
            <w:r>
              <w:rPr>
                <w:rFonts w:ascii="微软雅黑" w:hAnsi="微软雅黑" w:eastAsia="微软雅黑"/>
                <w:b w:val="0"/>
                <w:sz w:val="15"/>
              </w:rPr>
              <w:t>0.812</w:t>
            </w:r>
          </w:p>
        </w:tc>
        <w:tc>
          <w:tcPr>
            <w:tcW w:w="1399" w:type="dxa"/>
            <w:vAlign w:val="center"/>
          </w:tcPr>
          <w:p w14:paraId="58DD0669">
            <w:pPr>
              <w:spacing w:after="0" w:line="240" w:lineRule="auto"/>
            </w:pPr>
            <w:r>
              <w:rPr>
                <w:rFonts w:ascii="微软雅黑" w:hAnsi="微软雅黑" w:eastAsia="微软雅黑"/>
                <w:b w:val="0"/>
                <w:sz w:val="15"/>
              </w:rPr>
              <w:t>0.820</w:t>
            </w:r>
          </w:p>
        </w:tc>
        <w:tc>
          <w:tcPr>
            <w:tcW w:w="1399" w:type="dxa"/>
            <w:vAlign w:val="center"/>
          </w:tcPr>
          <w:p w14:paraId="6BE36AAD">
            <w:pPr>
              <w:spacing w:after="0" w:line="240" w:lineRule="auto"/>
            </w:pPr>
            <w:r>
              <w:rPr>
                <w:rFonts w:ascii="微软雅黑" w:hAnsi="微软雅黑" w:eastAsia="微软雅黑"/>
                <w:b w:val="0"/>
                <w:sz w:val="15"/>
              </w:rPr>
              <w:t>0.644</w:t>
            </w:r>
          </w:p>
        </w:tc>
        <w:tc>
          <w:tcPr>
            <w:tcW w:w="1399" w:type="dxa"/>
            <w:vAlign w:val="center"/>
          </w:tcPr>
          <w:p w14:paraId="2DD3D8C2">
            <w:pPr>
              <w:spacing w:after="0" w:line="240" w:lineRule="auto"/>
            </w:pPr>
            <w:r>
              <w:rPr>
                <w:rFonts w:ascii="微软雅黑" w:hAnsi="微软雅黑" w:eastAsia="微软雅黑"/>
                <w:b w:val="0"/>
                <w:sz w:val="15"/>
              </w:rPr>
              <w:t>0.665</w:t>
            </w:r>
          </w:p>
        </w:tc>
        <w:tc>
          <w:tcPr>
            <w:tcW w:w="1399" w:type="dxa"/>
            <w:vAlign w:val="center"/>
          </w:tcPr>
          <w:p w14:paraId="38988CAF">
            <w:pPr>
              <w:spacing w:after="0" w:line="240" w:lineRule="auto"/>
            </w:pPr>
            <w:r>
              <w:rPr>
                <w:rFonts w:ascii="微软雅黑" w:hAnsi="微软雅黑" w:eastAsia="微软雅黑"/>
                <w:b w:val="0"/>
                <w:sz w:val="15"/>
              </w:rPr>
              <w:t>0.680</w:t>
            </w:r>
          </w:p>
        </w:tc>
      </w:tr>
      <w:tr w14:paraId="5957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9" w:type="dxa"/>
            <w:vAlign w:val="center"/>
          </w:tcPr>
          <w:p w14:paraId="10AC130E">
            <w:pPr>
              <w:spacing w:after="0" w:line="240" w:lineRule="auto"/>
            </w:pPr>
            <w:r>
              <w:rPr>
                <w:rFonts w:ascii="微软雅黑" w:hAnsi="微软雅黑" w:eastAsia="微软雅黑"/>
                <w:b w:val="0"/>
                <w:sz w:val="15"/>
              </w:rPr>
              <w:t>NFT</w:t>
            </w:r>
          </w:p>
        </w:tc>
        <w:tc>
          <w:tcPr>
            <w:tcW w:w="1399" w:type="dxa"/>
            <w:vAlign w:val="center"/>
          </w:tcPr>
          <w:p w14:paraId="7A1CCEC5">
            <w:pPr>
              <w:spacing w:after="0" w:line="240" w:lineRule="auto"/>
            </w:pPr>
            <w:r>
              <w:rPr>
                <w:rFonts w:ascii="微软雅黑" w:hAnsi="微软雅黑" w:eastAsia="微软雅黑"/>
                <w:b w:val="0"/>
                <w:sz w:val="15"/>
              </w:rPr>
              <w:t>0.816</w:t>
            </w:r>
          </w:p>
        </w:tc>
        <w:tc>
          <w:tcPr>
            <w:tcW w:w="1399" w:type="dxa"/>
            <w:vAlign w:val="center"/>
          </w:tcPr>
          <w:p w14:paraId="4E58232A">
            <w:pPr>
              <w:spacing w:after="0" w:line="240" w:lineRule="auto"/>
            </w:pPr>
            <w:r>
              <w:rPr>
                <w:rFonts w:ascii="微软雅黑" w:hAnsi="微软雅黑" w:eastAsia="微软雅黑"/>
                <w:b w:val="0"/>
                <w:sz w:val="15"/>
              </w:rPr>
              <w:t>0.805</w:t>
            </w:r>
          </w:p>
        </w:tc>
        <w:tc>
          <w:tcPr>
            <w:tcW w:w="1399" w:type="dxa"/>
            <w:vAlign w:val="center"/>
          </w:tcPr>
          <w:p w14:paraId="03A648BC">
            <w:pPr>
              <w:spacing w:after="0" w:line="240" w:lineRule="auto"/>
            </w:pPr>
            <w:r>
              <w:rPr>
                <w:rFonts w:ascii="微软雅黑" w:hAnsi="微软雅黑" w:eastAsia="微软雅黑"/>
                <w:b w:val="0"/>
                <w:sz w:val="15"/>
              </w:rPr>
              <w:t>0.810</w:t>
            </w:r>
          </w:p>
        </w:tc>
        <w:tc>
          <w:tcPr>
            <w:tcW w:w="1399" w:type="dxa"/>
            <w:vAlign w:val="center"/>
          </w:tcPr>
          <w:p w14:paraId="687D735B">
            <w:pPr>
              <w:spacing w:after="0" w:line="240" w:lineRule="auto"/>
            </w:pPr>
            <w:r>
              <w:rPr>
                <w:rFonts w:ascii="微软雅黑" w:hAnsi="微软雅黑" w:eastAsia="微软雅黑"/>
                <w:b w:val="0"/>
                <w:sz w:val="15"/>
              </w:rPr>
              <w:t>0.606</w:t>
            </w:r>
          </w:p>
        </w:tc>
        <w:tc>
          <w:tcPr>
            <w:tcW w:w="1399" w:type="dxa"/>
            <w:vAlign w:val="center"/>
          </w:tcPr>
          <w:p w14:paraId="76720CB5">
            <w:pPr>
              <w:spacing w:after="0" w:line="240" w:lineRule="auto"/>
            </w:pPr>
            <w:r>
              <w:rPr>
                <w:rFonts w:ascii="微软雅黑" w:hAnsi="微软雅黑" w:eastAsia="微软雅黑"/>
                <w:b w:val="0"/>
                <w:sz w:val="15"/>
              </w:rPr>
              <w:t>0.715</w:t>
            </w:r>
          </w:p>
        </w:tc>
        <w:tc>
          <w:tcPr>
            <w:tcW w:w="1399" w:type="dxa"/>
            <w:vAlign w:val="center"/>
          </w:tcPr>
          <w:p w14:paraId="1AC07A61">
            <w:pPr>
              <w:spacing w:after="0" w:line="240" w:lineRule="auto"/>
            </w:pPr>
            <w:r>
              <w:rPr>
                <w:rFonts w:ascii="微软雅黑" w:hAnsi="微软雅黑" w:eastAsia="微软雅黑"/>
                <w:b w:val="0"/>
                <w:sz w:val="15"/>
              </w:rPr>
              <w:t>0.697</w:t>
            </w:r>
          </w:p>
        </w:tc>
      </w:tr>
      <w:tr w14:paraId="33A6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9" w:type="dxa"/>
            <w:vAlign w:val="center"/>
          </w:tcPr>
          <w:p w14:paraId="0310AF22">
            <w:pPr>
              <w:spacing w:after="0" w:line="240" w:lineRule="auto"/>
            </w:pPr>
            <w:r>
              <w:rPr>
                <w:rFonts w:ascii="微软雅黑" w:hAnsi="微软雅黑" w:eastAsia="微软雅黑"/>
                <w:b w:val="0"/>
                <w:sz w:val="15"/>
              </w:rPr>
              <w:t>Insurance</w:t>
            </w:r>
          </w:p>
        </w:tc>
        <w:tc>
          <w:tcPr>
            <w:tcW w:w="1399" w:type="dxa"/>
            <w:vAlign w:val="center"/>
          </w:tcPr>
          <w:p w14:paraId="0C8AD046">
            <w:pPr>
              <w:spacing w:after="0" w:line="240" w:lineRule="auto"/>
            </w:pPr>
            <w:r>
              <w:rPr>
                <w:rFonts w:ascii="微软雅黑" w:hAnsi="微软雅黑" w:eastAsia="微软雅黑"/>
                <w:b w:val="0"/>
                <w:sz w:val="15"/>
              </w:rPr>
              <w:t>0.871</w:t>
            </w:r>
          </w:p>
        </w:tc>
        <w:tc>
          <w:tcPr>
            <w:tcW w:w="1399" w:type="dxa"/>
            <w:vAlign w:val="center"/>
          </w:tcPr>
          <w:p w14:paraId="10CD8D19">
            <w:pPr>
              <w:spacing w:after="0" w:line="240" w:lineRule="auto"/>
            </w:pPr>
            <w:r>
              <w:rPr>
                <w:rFonts w:ascii="微软雅黑" w:hAnsi="微软雅黑" w:eastAsia="微软雅黑"/>
                <w:b w:val="0"/>
                <w:sz w:val="15"/>
              </w:rPr>
              <w:t>0.813</w:t>
            </w:r>
          </w:p>
        </w:tc>
        <w:tc>
          <w:tcPr>
            <w:tcW w:w="1399" w:type="dxa"/>
            <w:vAlign w:val="center"/>
          </w:tcPr>
          <w:p w14:paraId="16049B07">
            <w:pPr>
              <w:spacing w:after="0" w:line="240" w:lineRule="auto"/>
            </w:pPr>
            <w:r>
              <w:rPr>
                <w:rFonts w:ascii="微软雅黑" w:hAnsi="微软雅黑" w:eastAsia="微软雅黑"/>
                <w:b w:val="0"/>
                <w:sz w:val="15"/>
              </w:rPr>
              <w:t>0.841</w:t>
            </w:r>
          </w:p>
        </w:tc>
        <w:tc>
          <w:tcPr>
            <w:tcW w:w="1399" w:type="dxa"/>
            <w:vAlign w:val="center"/>
          </w:tcPr>
          <w:p w14:paraId="4E57ECAA">
            <w:pPr>
              <w:spacing w:after="0" w:line="240" w:lineRule="auto"/>
            </w:pPr>
            <w:r>
              <w:rPr>
                <w:rFonts w:ascii="微软雅黑" w:hAnsi="微软雅黑" w:eastAsia="微软雅黑"/>
                <w:b w:val="0"/>
                <w:sz w:val="15"/>
              </w:rPr>
              <w:t>0.633</w:t>
            </w:r>
          </w:p>
        </w:tc>
        <w:tc>
          <w:tcPr>
            <w:tcW w:w="1399" w:type="dxa"/>
            <w:vAlign w:val="center"/>
          </w:tcPr>
          <w:p w14:paraId="5DFEBEA8">
            <w:pPr>
              <w:spacing w:after="0" w:line="240" w:lineRule="auto"/>
            </w:pPr>
            <w:r>
              <w:rPr>
                <w:rFonts w:ascii="微软雅黑" w:hAnsi="微软雅黑" w:eastAsia="微软雅黑"/>
                <w:b w:val="0"/>
                <w:sz w:val="15"/>
              </w:rPr>
              <w:t>0.707</w:t>
            </w:r>
          </w:p>
        </w:tc>
        <w:tc>
          <w:tcPr>
            <w:tcW w:w="1399" w:type="dxa"/>
            <w:vAlign w:val="center"/>
          </w:tcPr>
          <w:p w14:paraId="5D6D7A32">
            <w:pPr>
              <w:spacing w:after="0" w:line="240" w:lineRule="auto"/>
            </w:pPr>
            <w:r>
              <w:rPr>
                <w:rFonts w:ascii="微软雅黑" w:hAnsi="微软雅黑" w:eastAsia="微软雅黑"/>
                <w:b w:val="0"/>
                <w:sz w:val="15"/>
              </w:rPr>
              <w:t>0.679</w:t>
            </w:r>
          </w:p>
        </w:tc>
      </w:tr>
      <w:tr w14:paraId="563C9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9" w:type="dxa"/>
            <w:vAlign w:val="center"/>
          </w:tcPr>
          <w:p w14:paraId="60D270FE">
            <w:pPr>
              <w:spacing w:after="0" w:line="240" w:lineRule="auto"/>
            </w:pPr>
            <w:r>
              <w:rPr>
                <w:rFonts w:ascii="微软雅黑" w:hAnsi="微软雅黑" w:eastAsia="微软雅黑"/>
                <w:b w:val="0"/>
                <w:sz w:val="15"/>
              </w:rPr>
              <w:t>Average</w:t>
            </w:r>
          </w:p>
        </w:tc>
        <w:tc>
          <w:tcPr>
            <w:tcW w:w="1399" w:type="dxa"/>
            <w:vAlign w:val="center"/>
          </w:tcPr>
          <w:p w14:paraId="7B45A64C">
            <w:pPr>
              <w:spacing w:after="0" w:line="240" w:lineRule="auto"/>
            </w:pPr>
            <w:r>
              <w:rPr>
                <w:rFonts w:ascii="微软雅黑" w:hAnsi="微软雅黑" w:eastAsia="微软雅黑"/>
                <w:b w:val="0"/>
                <w:sz w:val="15"/>
              </w:rPr>
              <w:t>0.838</w:t>
            </w:r>
          </w:p>
        </w:tc>
        <w:tc>
          <w:tcPr>
            <w:tcW w:w="1399" w:type="dxa"/>
            <w:vAlign w:val="center"/>
          </w:tcPr>
          <w:p w14:paraId="092A6C96">
            <w:pPr>
              <w:spacing w:after="0" w:line="240" w:lineRule="auto"/>
            </w:pPr>
            <w:r>
              <w:rPr>
                <w:rFonts w:ascii="微软雅黑" w:hAnsi="微软雅黑" w:eastAsia="微软雅黑"/>
                <w:b w:val="0"/>
                <w:sz w:val="15"/>
              </w:rPr>
              <w:t>0.822</w:t>
            </w:r>
          </w:p>
        </w:tc>
        <w:tc>
          <w:tcPr>
            <w:tcW w:w="1399" w:type="dxa"/>
            <w:vAlign w:val="center"/>
          </w:tcPr>
          <w:p w14:paraId="2BD92862">
            <w:pPr>
              <w:spacing w:after="0" w:line="240" w:lineRule="auto"/>
            </w:pPr>
            <w:r>
              <w:rPr>
                <w:rFonts w:ascii="微软雅黑" w:hAnsi="微软雅黑" w:eastAsia="微软雅黑"/>
                <w:b w:val="0"/>
                <w:sz w:val="15"/>
              </w:rPr>
              <w:t>0.830</w:t>
            </w:r>
          </w:p>
        </w:tc>
        <w:tc>
          <w:tcPr>
            <w:tcW w:w="1399" w:type="dxa"/>
            <w:vAlign w:val="center"/>
          </w:tcPr>
          <w:p w14:paraId="4935AA55">
            <w:pPr>
              <w:spacing w:after="0" w:line="240" w:lineRule="auto"/>
            </w:pPr>
            <w:r>
              <w:rPr>
                <w:rFonts w:ascii="微软雅黑" w:hAnsi="微软雅黑" w:eastAsia="微软雅黑"/>
                <w:b w:val="0"/>
                <w:sz w:val="15"/>
              </w:rPr>
              <w:t>0.628</w:t>
            </w:r>
          </w:p>
        </w:tc>
        <w:tc>
          <w:tcPr>
            <w:tcW w:w="1399" w:type="dxa"/>
            <w:vAlign w:val="center"/>
          </w:tcPr>
          <w:p w14:paraId="732CCAE8">
            <w:pPr>
              <w:spacing w:after="0" w:line="240" w:lineRule="auto"/>
            </w:pPr>
            <w:r>
              <w:rPr>
                <w:rFonts w:ascii="微软雅黑" w:hAnsi="微软雅黑" w:eastAsia="微软雅黑"/>
                <w:b w:val="0"/>
                <w:sz w:val="15"/>
              </w:rPr>
              <w:t>0.699</w:t>
            </w:r>
          </w:p>
        </w:tc>
        <w:tc>
          <w:tcPr>
            <w:tcW w:w="1399" w:type="dxa"/>
            <w:vAlign w:val="center"/>
          </w:tcPr>
          <w:p w14:paraId="5B832488">
            <w:pPr>
              <w:spacing w:after="0" w:line="240" w:lineRule="auto"/>
            </w:pPr>
            <w:r>
              <w:rPr>
                <w:rFonts w:ascii="微软雅黑" w:hAnsi="微软雅黑" w:eastAsia="微软雅黑"/>
                <w:b w:val="0"/>
                <w:sz w:val="15"/>
              </w:rPr>
              <w:t>0.704</w:t>
            </w:r>
          </w:p>
        </w:tc>
      </w:tr>
    </w:tbl>
    <w:p w14:paraId="20AB8854"/>
    <w:p w14:paraId="2908AB8C">
      <w:r>
        <w:drawing>
          <wp:inline distT="0" distB="0" distL="114300" distR="114300">
            <wp:extent cx="5669280" cy="30988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3098953"/>
                    </a:xfrm>
                    <a:prstGeom prst="rect">
                      <a:avLst/>
                    </a:prstGeom>
                  </pic:spPr>
                </pic:pic>
              </a:graphicData>
            </a:graphic>
          </wp:inline>
        </w:drawing>
      </w:r>
    </w:p>
    <w:p w14:paraId="19BCB804">
      <w:pPr>
        <w:jc w:val="center"/>
      </w:pPr>
      <w:r>
        <w:rPr>
          <w:rFonts w:ascii="微软雅黑" w:hAnsi="微软雅黑" w:eastAsia="微软雅黑"/>
          <w:b/>
          <w:sz w:val="18"/>
        </w:rPr>
        <w:t>图3 GCN在不同项目类别上的F1-score</w:t>
      </w:r>
    </w:p>
    <w:p w14:paraId="3985FC91">
      <w:r>
        <w:rPr>
          <w:rFonts w:ascii="微软雅黑" w:hAnsi="微软雅黑" w:eastAsia="微软雅黑"/>
          <w:b w:val="0"/>
          <w:sz w:val="21"/>
        </w:rPr>
        <w:t>从类别维度看，GCN在DEX、Lending、Yield、NFT和Insurance五类项目上的F1-score分别为0.833、0.846、0.820、0.810和0.841，说明模型并非只对单一类型项目有效，而是在业务逻辑差异较大的项目之间仍保持较均衡表现。论文还指出，数据集中约37%的交易特征来自代码复用项目，其中约78%在最佳模型中被准确分类，这进一步说明业务主干图对复用项目和相似项目风险预警具有实际意义。</w:t>
      </w:r>
    </w:p>
    <w:p w14:paraId="22716F2B">
      <w:pPr>
        <w:pStyle w:val="5"/>
      </w:pPr>
      <w:r>
        <w:rPr>
          <w:rFonts w:hint="eastAsia" w:eastAsia="宋体"/>
          <w:lang w:val="en-US" w:eastAsia="zh-CN"/>
        </w:rPr>
        <w:t>1</w:t>
      </w:r>
      <w:r>
        <w:t>.3.3 主干图规模消融实验解释</w:t>
      </w:r>
    </w:p>
    <w:p w14:paraId="5DC7319E">
      <w:r>
        <w:rPr>
          <w:rFonts w:ascii="微软雅黑" w:hAnsi="微软雅黑" w:eastAsia="微软雅黑"/>
          <w:b w:val="0"/>
          <w:sz w:val="21"/>
        </w:rPr>
        <w:t>论文进一步通过不同规模业务主干图评估模型鲁棒性。主干图规模由智能合约节点的入度和出度阈值控制，分别使用“均值+标准差”“均值”“中位数”和“全部节点”划分规模。实验结果表明，GCN在不同规模下准确率均超过80%，说明其对主干图规模变化较为稳定；SAGE在主干图扩大后性能提升，体现出其对大规模图的适应性；GAT在最小规模主干图上达到极高准确率，但在其他规模下降明显，可能存在过拟合；GIN在中等规模图上表现较好。</w:t>
      </w:r>
    </w:p>
    <w:p w14:paraId="645341DD">
      <w:r>
        <w:rPr>
          <w:rFonts w:ascii="微软雅黑" w:hAnsi="微软雅黑" w:eastAsia="微软雅黑"/>
          <w:b w:val="0"/>
          <w:sz w:val="21"/>
        </w:rPr>
        <w:t>该消融结果说明，业务主干图并非越大越好。过小的主干图可能遗漏核心业务节点，过大的主干图可能引入外部调用噪声。最合理的策略是保留高频、稳定、具有业务代表性的内部调用关系，使模型学习“业务主干”而不是“全部调用噪声”。</w:t>
      </w:r>
    </w:p>
    <w:p w14:paraId="1DFE9323">
      <w:pPr>
        <w:pStyle w:val="4"/>
      </w:pPr>
      <w:r>
        <w:rPr>
          <w:rFonts w:hint="eastAsia" w:eastAsia="宋体"/>
          <w:lang w:val="en-US" w:eastAsia="zh-CN"/>
        </w:rPr>
        <w:t>1</w:t>
      </w:r>
      <w:r>
        <w:t>.4 恶意交易检测实验结果分析</w:t>
      </w:r>
    </w:p>
    <w:p w14:paraId="62F98988">
      <w:pPr>
        <w:pStyle w:val="5"/>
      </w:pPr>
      <w:r>
        <w:rPr>
          <w:rFonts w:hint="eastAsia" w:eastAsia="宋体"/>
          <w:lang w:val="en-US" w:eastAsia="zh-CN"/>
        </w:rPr>
        <w:t>1</w:t>
      </w:r>
      <w:r>
        <w:t>.4.1 字节码到自然语言的技术路径</w:t>
      </w:r>
    </w:p>
    <w:p w14:paraId="4AD72D65">
      <w:r>
        <w:rPr>
          <w:rFonts w:ascii="微软雅黑" w:hAnsi="微软雅黑" w:eastAsia="微软雅黑"/>
          <w:b w:val="0"/>
          <w:sz w:val="21"/>
        </w:rPr>
        <w:t>恶意交易检测模块从交易执行字节码入手，首先通过Geth debug_transaction_tracer和函数签名数据库还原交易调用路径，得到地址、函数、操作码、事件和调用关系等对象。论文将调用关系划分为CALL、DELEGATECALL、STATICCALL、INNER和RETURN/REVERSE/INVALID/STOP等类型，并通过操作码清洗去除大量与业务无关的内存操作，仅保留与状态读取、写入、比较、计算和事件触发相关的操作。</w:t>
      </w:r>
    </w:p>
    <w:p w14:paraId="50B88071">
      <w:r>
        <w:rPr>
          <w:rFonts w:ascii="微软雅黑" w:hAnsi="微软雅黑" w:eastAsia="微软雅黑"/>
          <w:b w:val="0"/>
          <w:sz w:val="21"/>
        </w:rPr>
        <w:t>随后，系统基于调用树结构生成自然语言描述。具体而言，系统利用栈处理CALL与结束命令之间的函数语段，构建包含节点编号、父节点、子节点、调用层级和语段内容的调用树，再通过反向遍历和层级衔接将离散操作转换为连贯的自然语言交易描述。这一过程使大语言模型不再面对离散opcode，而是面对接近业务逻辑的交易执行文本。</w:t>
      </w:r>
    </w:p>
    <w:p w14:paraId="14359E34">
      <w:pPr>
        <w:jc w:val="center"/>
      </w:pPr>
      <w:r>
        <w:rPr>
          <w:rFonts w:ascii="微软雅黑" w:hAnsi="微软雅黑" w:eastAsia="微软雅黑"/>
          <w:b/>
          <w:sz w:val="18"/>
        </w:rPr>
        <w:t>表5 恶意检测模块关键处理环节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4FD9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4FEA2B43">
            <w:pPr>
              <w:spacing w:after="0" w:line="240" w:lineRule="auto"/>
            </w:pPr>
            <w:r>
              <w:rPr>
                <w:rFonts w:ascii="微软雅黑" w:hAnsi="微软雅黑" w:eastAsia="微软雅黑"/>
                <w:b/>
                <w:sz w:val="15"/>
              </w:rPr>
              <w:t>技术环节</w:t>
            </w:r>
          </w:p>
        </w:tc>
        <w:tc>
          <w:tcPr>
            <w:tcW w:w="3264" w:type="dxa"/>
            <w:shd w:val="clear" w:color="auto" w:fill="D9EAF7"/>
            <w:vAlign w:val="center"/>
          </w:tcPr>
          <w:p w14:paraId="0B34CBD1">
            <w:pPr>
              <w:spacing w:after="0" w:line="240" w:lineRule="auto"/>
            </w:pPr>
            <w:r>
              <w:rPr>
                <w:rFonts w:ascii="微软雅黑" w:hAnsi="微软雅黑" w:eastAsia="微软雅黑"/>
                <w:b/>
                <w:sz w:val="15"/>
              </w:rPr>
              <w:t>论文实现方式</w:t>
            </w:r>
          </w:p>
        </w:tc>
        <w:tc>
          <w:tcPr>
            <w:tcW w:w="3264" w:type="dxa"/>
            <w:shd w:val="clear" w:color="auto" w:fill="D9EAF7"/>
            <w:vAlign w:val="center"/>
          </w:tcPr>
          <w:p w14:paraId="1961CF9C">
            <w:pPr>
              <w:spacing w:after="0" w:line="240" w:lineRule="auto"/>
            </w:pPr>
            <w:r>
              <w:rPr>
                <w:rFonts w:ascii="微软雅黑" w:hAnsi="微软雅黑" w:eastAsia="微软雅黑"/>
                <w:b/>
                <w:sz w:val="15"/>
              </w:rPr>
              <w:t>结果分析意义</w:t>
            </w:r>
          </w:p>
        </w:tc>
      </w:tr>
      <w:tr w14:paraId="240A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D6ADBF1">
            <w:pPr>
              <w:spacing w:after="0" w:line="240" w:lineRule="auto"/>
            </w:pPr>
            <w:r>
              <w:rPr>
                <w:rFonts w:ascii="微软雅黑" w:hAnsi="微软雅黑" w:eastAsia="微软雅黑"/>
                <w:b w:val="0"/>
                <w:sz w:val="15"/>
              </w:rPr>
              <w:t>字节码还原</w:t>
            </w:r>
          </w:p>
        </w:tc>
        <w:tc>
          <w:tcPr>
            <w:tcW w:w="3264" w:type="dxa"/>
            <w:vAlign w:val="center"/>
          </w:tcPr>
          <w:p w14:paraId="3D0CE71D">
            <w:pPr>
              <w:spacing w:after="0" w:line="240" w:lineRule="auto"/>
            </w:pPr>
            <w:r>
              <w:rPr>
                <w:rFonts w:ascii="微软雅黑" w:hAnsi="微软雅黑" w:eastAsia="微软雅黑"/>
                <w:b w:val="0"/>
                <w:sz w:val="15"/>
              </w:rPr>
              <w:t>从EVM执行字节码还原opcode、函数和调用路径</w:t>
            </w:r>
          </w:p>
        </w:tc>
        <w:tc>
          <w:tcPr>
            <w:tcW w:w="3264" w:type="dxa"/>
            <w:vAlign w:val="center"/>
          </w:tcPr>
          <w:p w14:paraId="1A964C2F">
            <w:pPr>
              <w:spacing w:after="0" w:line="240" w:lineRule="auto"/>
            </w:pPr>
            <w:r>
              <w:rPr>
                <w:rFonts w:ascii="微软雅黑" w:hAnsi="微软雅黑" w:eastAsia="微软雅黑"/>
                <w:b w:val="0"/>
                <w:sz w:val="15"/>
              </w:rPr>
              <w:t>获得交易执行的底层真实痕迹</w:t>
            </w:r>
          </w:p>
        </w:tc>
      </w:tr>
      <w:tr w14:paraId="5401C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866DE9B">
            <w:pPr>
              <w:spacing w:after="0" w:line="240" w:lineRule="auto"/>
            </w:pPr>
            <w:r>
              <w:rPr>
                <w:rFonts w:ascii="微软雅黑" w:hAnsi="微软雅黑" w:eastAsia="微软雅黑"/>
                <w:b w:val="0"/>
                <w:sz w:val="15"/>
              </w:rPr>
              <w:t>路径清洗</w:t>
            </w:r>
          </w:p>
        </w:tc>
        <w:tc>
          <w:tcPr>
            <w:tcW w:w="3264" w:type="dxa"/>
            <w:vAlign w:val="center"/>
          </w:tcPr>
          <w:p w14:paraId="10BCE790">
            <w:pPr>
              <w:spacing w:after="0" w:line="240" w:lineRule="auto"/>
            </w:pPr>
            <w:r>
              <w:rPr>
                <w:rFonts w:ascii="微软雅黑" w:hAnsi="微软雅黑" w:eastAsia="微软雅黑"/>
                <w:b w:val="0"/>
                <w:sz w:val="15"/>
              </w:rPr>
              <w:t>保留LOAD/STORE/EQ/LT/GT/LOG等业务相关操作，删除大量内存操作</w:t>
            </w:r>
          </w:p>
        </w:tc>
        <w:tc>
          <w:tcPr>
            <w:tcW w:w="3264" w:type="dxa"/>
            <w:vAlign w:val="center"/>
          </w:tcPr>
          <w:p w14:paraId="662D1798">
            <w:pPr>
              <w:spacing w:after="0" w:line="240" w:lineRule="auto"/>
            </w:pPr>
            <w:r>
              <w:rPr>
                <w:rFonts w:ascii="微软雅黑" w:hAnsi="微软雅黑" w:eastAsia="微软雅黑"/>
                <w:b w:val="0"/>
                <w:sz w:val="15"/>
              </w:rPr>
              <w:t>降低无关token对模型注意力的干扰</w:t>
            </w:r>
          </w:p>
        </w:tc>
      </w:tr>
      <w:tr w14:paraId="4D17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29100F7">
            <w:pPr>
              <w:spacing w:after="0" w:line="240" w:lineRule="auto"/>
            </w:pPr>
            <w:r>
              <w:rPr>
                <w:rFonts w:ascii="微软雅黑" w:hAnsi="微软雅黑" w:eastAsia="微软雅黑"/>
                <w:b w:val="0"/>
                <w:sz w:val="15"/>
              </w:rPr>
              <w:t>调用树构建</w:t>
            </w:r>
          </w:p>
        </w:tc>
        <w:tc>
          <w:tcPr>
            <w:tcW w:w="3264" w:type="dxa"/>
            <w:vAlign w:val="center"/>
          </w:tcPr>
          <w:p w14:paraId="24BB3E19">
            <w:pPr>
              <w:spacing w:after="0" w:line="240" w:lineRule="auto"/>
            </w:pPr>
            <w:r>
              <w:rPr>
                <w:rFonts w:ascii="微软雅黑" w:hAnsi="微软雅黑" w:eastAsia="微软雅黑"/>
                <w:b w:val="0"/>
                <w:sz w:val="15"/>
              </w:rPr>
              <w:t>基于CALL入栈、RETURN出栈的树结构划分语段</w:t>
            </w:r>
          </w:p>
        </w:tc>
        <w:tc>
          <w:tcPr>
            <w:tcW w:w="3264" w:type="dxa"/>
            <w:vAlign w:val="center"/>
          </w:tcPr>
          <w:p w14:paraId="2B5899A2">
            <w:pPr>
              <w:spacing w:after="0" w:line="240" w:lineRule="auto"/>
            </w:pPr>
            <w:r>
              <w:rPr>
                <w:rFonts w:ascii="微软雅黑" w:hAnsi="微软雅黑" w:eastAsia="微软雅黑"/>
                <w:b w:val="0"/>
                <w:sz w:val="15"/>
              </w:rPr>
              <w:t>保留交易调用层级和执行顺序</w:t>
            </w:r>
          </w:p>
        </w:tc>
      </w:tr>
      <w:tr w14:paraId="232BC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908645C">
            <w:pPr>
              <w:spacing w:after="0" w:line="240" w:lineRule="auto"/>
            </w:pPr>
            <w:r>
              <w:rPr>
                <w:rFonts w:ascii="微软雅黑" w:hAnsi="微软雅黑" w:eastAsia="微软雅黑"/>
                <w:b w:val="0"/>
                <w:sz w:val="15"/>
              </w:rPr>
              <w:t>自然语言生成</w:t>
            </w:r>
          </w:p>
        </w:tc>
        <w:tc>
          <w:tcPr>
            <w:tcW w:w="3264" w:type="dxa"/>
            <w:vAlign w:val="center"/>
          </w:tcPr>
          <w:p w14:paraId="088B96D9">
            <w:pPr>
              <w:spacing w:after="0" w:line="240" w:lineRule="auto"/>
            </w:pPr>
            <w:r>
              <w:rPr>
                <w:rFonts w:ascii="微软雅黑" w:hAnsi="微软雅黑" w:eastAsia="微软雅黑"/>
                <w:b w:val="0"/>
                <w:sz w:val="15"/>
              </w:rPr>
              <w:t>将地址调用、函数、操作、返回过程嵌入模板</w:t>
            </w:r>
          </w:p>
        </w:tc>
        <w:tc>
          <w:tcPr>
            <w:tcW w:w="3264" w:type="dxa"/>
            <w:vAlign w:val="center"/>
          </w:tcPr>
          <w:p w14:paraId="5F84F2E3">
            <w:pPr>
              <w:spacing w:after="0" w:line="240" w:lineRule="auto"/>
            </w:pPr>
            <w:r>
              <w:rPr>
                <w:rFonts w:ascii="微软雅黑" w:hAnsi="微软雅黑" w:eastAsia="微软雅黑"/>
                <w:b w:val="0"/>
                <w:sz w:val="15"/>
              </w:rPr>
              <w:t>将离散操作转换为可理解语义</w:t>
            </w:r>
          </w:p>
        </w:tc>
      </w:tr>
      <w:tr w14:paraId="7256A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D7DC39D">
            <w:pPr>
              <w:spacing w:after="0" w:line="240" w:lineRule="auto"/>
            </w:pPr>
            <w:r>
              <w:rPr>
                <w:rFonts w:ascii="微软雅黑" w:hAnsi="微软雅黑" w:eastAsia="微软雅黑"/>
                <w:b w:val="0"/>
                <w:sz w:val="15"/>
              </w:rPr>
              <w:t>增强模板</w:t>
            </w:r>
          </w:p>
        </w:tc>
        <w:tc>
          <w:tcPr>
            <w:tcW w:w="3264" w:type="dxa"/>
            <w:vAlign w:val="center"/>
          </w:tcPr>
          <w:p w14:paraId="7F5ED440">
            <w:pPr>
              <w:spacing w:after="0" w:line="240" w:lineRule="auto"/>
            </w:pPr>
            <w:r>
              <w:rPr>
                <w:rFonts w:ascii="微软雅黑" w:hAnsi="微软雅黑" w:eastAsia="微软雅黑"/>
                <w:b w:val="0"/>
                <w:sz w:val="15"/>
              </w:rPr>
              <w:t>加入重点调用对象和蒸馏函数序列</w:t>
            </w:r>
          </w:p>
        </w:tc>
        <w:tc>
          <w:tcPr>
            <w:tcW w:w="3264" w:type="dxa"/>
            <w:vAlign w:val="center"/>
          </w:tcPr>
          <w:p w14:paraId="546F4B52">
            <w:pPr>
              <w:spacing w:after="0" w:line="240" w:lineRule="auto"/>
            </w:pPr>
            <w:r>
              <w:rPr>
                <w:rFonts w:ascii="微软雅黑" w:hAnsi="微软雅黑" w:eastAsia="微软雅黑"/>
                <w:b w:val="0"/>
                <w:sz w:val="15"/>
              </w:rPr>
              <w:t>让LLM同时获得完整语义和关键证据</w:t>
            </w:r>
          </w:p>
        </w:tc>
      </w:tr>
    </w:tbl>
    <w:p w14:paraId="0FFE96D0"/>
    <w:p w14:paraId="6D038A9A">
      <w:pPr>
        <w:pStyle w:val="5"/>
      </w:pPr>
      <w:r>
        <w:rPr>
          <w:rFonts w:hint="eastAsia" w:eastAsia="宋体"/>
          <w:lang w:val="en-US" w:eastAsia="zh-CN"/>
        </w:rPr>
        <w:t>1</w:t>
      </w:r>
      <w:r>
        <w:t>.4.2 LoRA-LLM消融实验结果</w:t>
      </w:r>
    </w:p>
    <w:p w14:paraId="63F231CB">
      <w:pPr>
        <w:jc w:val="center"/>
      </w:pPr>
      <w:r>
        <w:rPr>
          <w:rFonts w:ascii="微软雅黑" w:hAnsi="微软雅黑" w:eastAsia="微软雅黑"/>
          <w:b/>
          <w:sz w:val="18"/>
        </w:rPr>
        <w:t>表6 LLM恶意交易检测消融实验结果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47B16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7B0A4D2B">
            <w:pPr>
              <w:spacing w:after="0" w:line="240" w:lineRule="auto"/>
            </w:pPr>
            <w:r>
              <w:rPr>
                <w:rFonts w:ascii="微软雅黑" w:hAnsi="微软雅黑" w:eastAsia="微软雅黑"/>
                <w:b/>
                <w:sz w:val="15"/>
              </w:rPr>
              <w:t>输入模板</w:t>
            </w:r>
          </w:p>
        </w:tc>
        <w:tc>
          <w:tcPr>
            <w:tcW w:w="2448" w:type="dxa"/>
            <w:shd w:val="clear" w:color="auto" w:fill="D9EAF7"/>
            <w:vAlign w:val="center"/>
          </w:tcPr>
          <w:p w14:paraId="386E3E02">
            <w:pPr>
              <w:spacing w:after="0" w:line="240" w:lineRule="auto"/>
            </w:pPr>
            <w:r>
              <w:rPr>
                <w:rFonts w:ascii="微软雅黑" w:hAnsi="微软雅黑" w:eastAsia="微软雅黑"/>
                <w:b/>
                <w:sz w:val="15"/>
              </w:rPr>
              <w:t>核心信息</w:t>
            </w:r>
          </w:p>
        </w:tc>
        <w:tc>
          <w:tcPr>
            <w:tcW w:w="2448" w:type="dxa"/>
            <w:shd w:val="clear" w:color="auto" w:fill="D9EAF7"/>
            <w:vAlign w:val="center"/>
          </w:tcPr>
          <w:p w14:paraId="01EC2033">
            <w:pPr>
              <w:spacing w:after="0" w:line="240" w:lineRule="auto"/>
            </w:pPr>
            <w:r>
              <w:rPr>
                <w:rFonts w:ascii="微软雅黑" w:hAnsi="微软雅黑" w:eastAsia="微软雅黑"/>
                <w:b/>
                <w:sz w:val="15"/>
              </w:rPr>
              <w:t>F1-score</w:t>
            </w:r>
          </w:p>
        </w:tc>
        <w:tc>
          <w:tcPr>
            <w:tcW w:w="2448" w:type="dxa"/>
            <w:shd w:val="clear" w:color="auto" w:fill="D9EAF7"/>
            <w:vAlign w:val="center"/>
          </w:tcPr>
          <w:p w14:paraId="228DEAF3">
            <w:pPr>
              <w:spacing w:after="0" w:line="240" w:lineRule="auto"/>
            </w:pPr>
            <w:r>
              <w:rPr>
                <w:rFonts w:ascii="微软雅黑" w:hAnsi="微软雅黑" w:eastAsia="微软雅黑"/>
                <w:b/>
                <w:sz w:val="15"/>
              </w:rPr>
              <w:t>结果解释</w:t>
            </w:r>
          </w:p>
        </w:tc>
      </w:tr>
      <w:tr w14:paraId="46A1D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306EBCC">
            <w:pPr>
              <w:spacing w:after="0" w:line="240" w:lineRule="auto"/>
            </w:pPr>
            <w:r>
              <w:rPr>
                <w:rFonts w:ascii="微软雅黑" w:hAnsi="微软雅黑" w:eastAsia="微软雅黑"/>
                <w:b w:val="0"/>
                <w:sz w:val="15"/>
              </w:rPr>
              <w:t>NLE Only</w:t>
            </w:r>
          </w:p>
        </w:tc>
        <w:tc>
          <w:tcPr>
            <w:tcW w:w="2448" w:type="dxa"/>
            <w:vAlign w:val="center"/>
          </w:tcPr>
          <w:p w14:paraId="0F96465F">
            <w:pPr>
              <w:spacing w:after="0" w:line="240" w:lineRule="auto"/>
            </w:pPr>
            <w:r>
              <w:rPr>
                <w:rFonts w:ascii="微软雅黑" w:hAnsi="微软雅黑" w:eastAsia="微软雅黑"/>
                <w:b w:val="0"/>
                <w:sz w:val="15"/>
              </w:rPr>
              <w:t>transaction-level natural language context</w:t>
            </w:r>
          </w:p>
        </w:tc>
        <w:tc>
          <w:tcPr>
            <w:tcW w:w="2448" w:type="dxa"/>
            <w:vAlign w:val="center"/>
          </w:tcPr>
          <w:p w14:paraId="578A2F34">
            <w:pPr>
              <w:spacing w:after="0" w:line="240" w:lineRule="auto"/>
            </w:pPr>
            <w:r>
              <w:rPr>
                <w:rFonts w:ascii="微软雅黑" w:hAnsi="微软雅黑" w:eastAsia="微软雅黑"/>
                <w:b w:val="0"/>
                <w:sz w:val="15"/>
              </w:rPr>
              <w:t>0.695</w:t>
            </w:r>
          </w:p>
        </w:tc>
        <w:tc>
          <w:tcPr>
            <w:tcW w:w="2448" w:type="dxa"/>
            <w:vAlign w:val="center"/>
          </w:tcPr>
          <w:p w14:paraId="70557DD6">
            <w:pPr>
              <w:spacing w:after="0" w:line="240" w:lineRule="auto"/>
            </w:pPr>
            <w:r>
              <w:rPr>
                <w:rFonts w:ascii="微软雅黑" w:hAnsi="微软雅黑" w:eastAsia="微软雅黑"/>
                <w:b w:val="0"/>
                <w:sz w:val="15"/>
              </w:rPr>
              <w:t>单独使用时信息维度不足</w:t>
            </w:r>
          </w:p>
        </w:tc>
      </w:tr>
      <w:tr w14:paraId="72D3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D2CAD45">
            <w:pPr>
              <w:spacing w:after="0" w:line="240" w:lineRule="auto"/>
            </w:pPr>
            <w:r>
              <w:rPr>
                <w:rFonts w:ascii="微软雅黑" w:hAnsi="微软雅黑" w:eastAsia="微软雅黑"/>
                <w:b w:val="0"/>
                <w:sz w:val="15"/>
              </w:rPr>
              <w:t>Graph Only</w:t>
            </w:r>
          </w:p>
        </w:tc>
        <w:tc>
          <w:tcPr>
            <w:tcW w:w="2448" w:type="dxa"/>
            <w:vAlign w:val="center"/>
          </w:tcPr>
          <w:p w14:paraId="045F7895">
            <w:pPr>
              <w:spacing w:after="0" w:line="240" w:lineRule="auto"/>
            </w:pPr>
            <w:r>
              <w:rPr>
                <w:rFonts w:ascii="微软雅黑" w:hAnsi="微软雅黑" w:eastAsia="微软雅黑"/>
                <w:b w:val="0"/>
                <w:sz w:val="15"/>
              </w:rPr>
              <w:t>key call-object highlighting</w:t>
            </w:r>
          </w:p>
        </w:tc>
        <w:tc>
          <w:tcPr>
            <w:tcW w:w="2448" w:type="dxa"/>
            <w:vAlign w:val="center"/>
          </w:tcPr>
          <w:p w14:paraId="263F2ADF">
            <w:pPr>
              <w:spacing w:after="0" w:line="240" w:lineRule="auto"/>
            </w:pPr>
            <w:r>
              <w:rPr>
                <w:rFonts w:ascii="微软雅黑" w:hAnsi="微软雅黑" w:eastAsia="微软雅黑"/>
                <w:b w:val="0"/>
                <w:sz w:val="15"/>
              </w:rPr>
              <w:t>0.684</w:t>
            </w:r>
          </w:p>
        </w:tc>
        <w:tc>
          <w:tcPr>
            <w:tcW w:w="2448" w:type="dxa"/>
            <w:vAlign w:val="center"/>
          </w:tcPr>
          <w:p w14:paraId="0A486951">
            <w:pPr>
              <w:spacing w:after="0" w:line="240" w:lineRule="auto"/>
            </w:pPr>
            <w:r>
              <w:rPr>
                <w:rFonts w:ascii="微软雅黑" w:hAnsi="微软雅黑" w:eastAsia="微软雅黑"/>
                <w:b w:val="0"/>
                <w:sz w:val="15"/>
              </w:rPr>
              <w:t>单独使用时信息维度不足</w:t>
            </w:r>
          </w:p>
        </w:tc>
      </w:tr>
      <w:tr w14:paraId="65E0C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837D1AB">
            <w:pPr>
              <w:spacing w:after="0" w:line="240" w:lineRule="auto"/>
            </w:pPr>
            <w:r>
              <w:rPr>
                <w:rFonts w:ascii="微软雅黑" w:hAnsi="微软雅黑" w:eastAsia="微软雅黑"/>
                <w:b w:val="0"/>
                <w:sz w:val="15"/>
              </w:rPr>
              <w:t>Attention Only</w:t>
            </w:r>
          </w:p>
        </w:tc>
        <w:tc>
          <w:tcPr>
            <w:tcW w:w="2448" w:type="dxa"/>
            <w:vAlign w:val="center"/>
          </w:tcPr>
          <w:p w14:paraId="61559A13">
            <w:pPr>
              <w:spacing w:after="0" w:line="240" w:lineRule="auto"/>
            </w:pPr>
            <w:r>
              <w:rPr>
                <w:rFonts w:ascii="微软雅黑" w:hAnsi="微软雅黑" w:eastAsia="微软雅黑"/>
                <w:b w:val="0"/>
                <w:sz w:val="15"/>
              </w:rPr>
              <w:t>important function sequence highlighting</w:t>
            </w:r>
          </w:p>
        </w:tc>
        <w:tc>
          <w:tcPr>
            <w:tcW w:w="2448" w:type="dxa"/>
            <w:vAlign w:val="center"/>
          </w:tcPr>
          <w:p w14:paraId="7A443510">
            <w:pPr>
              <w:spacing w:after="0" w:line="240" w:lineRule="auto"/>
            </w:pPr>
            <w:r>
              <w:rPr>
                <w:rFonts w:ascii="微软雅黑" w:hAnsi="微软雅黑" w:eastAsia="微软雅黑"/>
                <w:b w:val="0"/>
                <w:sz w:val="15"/>
              </w:rPr>
              <w:t>0.640</w:t>
            </w:r>
          </w:p>
        </w:tc>
        <w:tc>
          <w:tcPr>
            <w:tcW w:w="2448" w:type="dxa"/>
            <w:vAlign w:val="center"/>
          </w:tcPr>
          <w:p w14:paraId="25D1C4E3">
            <w:pPr>
              <w:spacing w:after="0" w:line="240" w:lineRule="auto"/>
            </w:pPr>
            <w:r>
              <w:rPr>
                <w:rFonts w:ascii="微软雅黑" w:hAnsi="微软雅黑" w:eastAsia="微软雅黑"/>
                <w:b w:val="0"/>
                <w:sz w:val="15"/>
              </w:rPr>
              <w:t>单独使用时信息维度不足</w:t>
            </w:r>
          </w:p>
        </w:tc>
      </w:tr>
      <w:tr w14:paraId="5F715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9D62EAE">
            <w:pPr>
              <w:spacing w:after="0" w:line="240" w:lineRule="auto"/>
            </w:pPr>
            <w:r>
              <w:rPr>
                <w:rFonts w:ascii="微软雅黑" w:hAnsi="微软雅黑" w:eastAsia="微软雅黑"/>
                <w:b w:val="0"/>
                <w:sz w:val="15"/>
              </w:rPr>
              <w:t>NLE+Graph+Attention</w:t>
            </w:r>
          </w:p>
        </w:tc>
        <w:tc>
          <w:tcPr>
            <w:tcW w:w="2448" w:type="dxa"/>
            <w:vAlign w:val="center"/>
          </w:tcPr>
          <w:p w14:paraId="77F1EA0A">
            <w:pPr>
              <w:spacing w:after="0" w:line="240" w:lineRule="auto"/>
            </w:pPr>
            <w:r>
              <w:rPr>
                <w:rFonts w:ascii="微软雅黑" w:hAnsi="微软雅黑" w:eastAsia="微软雅黑"/>
                <w:b w:val="0"/>
                <w:sz w:val="15"/>
              </w:rPr>
              <w:t>full semantic + object + path enhancement</w:t>
            </w:r>
          </w:p>
        </w:tc>
        <w:tc>
          <w:tcPr>
            <w:tcW w:w="2448" w:type="dxa"/>
            <w:vAlign w:val="center"/>
          </w:tcPr>
          <w:p w14:paraId="1B31C47A">
            <w:pPr>
              <w:spacing w:after="0" w:line="240" w:lineRule="auto"/>
            </w:pPr>
            <w:r>
              <w:rPr>
                <w:rFonts w:ascii="微软雅黑" w:hAnsi="微软雅黑" w:eastAsia="微软雅黑"/>
                <w:b w:val="0"/>
                <w:sz w:val="15"/>
              </w:rPr>
              <w:t>0.801</w:t>
            </w:r>
          </w:p>
        </w:tc>
        <w:tc>
          <w:tcPr>
            <w:tcW w:w="2448" w:type="dxa"/>
            <w:vAlign w:val="center"/>
          </w:tcPr>
          <w:p w14:paraId="6FEC6A29">
            <w:pPr>
              <w:spacing w:after="0" w:line="240" w:lineRule="auto"/>
            </w:pPr>
            <w:r>
              <w:rPr>
                <w:rFonts w:ascii="微软雅黑" w:hAnsi="微软雅黑" w:eastAsia="微软雅黑"/>
                <w:b w:val="0"/>
                <w:sz w:val="15"/>
              </w:rPr>
              <w:t>完整语义、关键对象和重要路径互补，表现最佳</w:t>
            </w:r>
          </w:p>
        </w:tc>
      </w:tr>
    </w:tbl>
    <w:p w14:paraId="6909571C"/>
    <w:p w14:paraId="7A59BCC3">
      <w:r>
        <w:drawing>
          <wp:inline distT="0" distB="0" distL="114300" distR="114300">
            <wp:extent cx="5669280" cy="30988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3098953"/>
                    </a:xfrm>
                    <a:prstGeom prst="rect">
                      <a:avLst/>
                    </a:prstGeom>
                  </pic:spPr>
                </pic:pic>
              </a:graphicData>
            </a:graphic>
          </wp:inline>
        </w:drawing>
      </w:r>
    </w:p>
    <w:p w14:paraId="655BB40D">
      <w:pPr>
        <w:jc w:val="center"/>
      </w:pPr>
      <w:r>
        <w:rPr>
          <w:rFonts w:ascii="微软雅黑" w:hAnsi="微软雅黑" w:eastAsia="微软雅黑"/>
          <w:b/>
          <w:sz w:val="18"/>
        </w:rPr>
        <w:t>图4 LLM恶意交易检测消融实验</w:t>
      </w:r>
    </w:p>
    <w:p w14:paraId="7C8DD0ED">
      <w:r>
        <w:rPr>
          <w:rFonts w:ascii="微软雅黑" w:hAnsi="微软雅黑" w:eastAsia="微软雅黑"/>
          <w:b w:val="0"/>
          <w:sz w:val="21"/>
        </w:rPr>
        <w:t>实验结果显示，完整模板NLE+Graph+Attention的F1-score达到0.801，显著高于仅使用自然语言描述、仅使用图卷积对象增强或仅使用注意力序列增强的方案。该结果说明，恶意交易检测不是单纯的序列分类问题，而是需要同时理解交易整体语义、关键调用对象和重要函数路径。</w:t>
      </w:r>
    </w:p>
    <w:p w14:paraId="1B862829">
      <w:r>
        <w:rPr>
          <w:rFonts w:ascii="微软雅黑" w:hAnsi="微软雅黑" w:eastAsia="微软雅黑"/>
          <w:b w:val="0"/>
          <w:sz w:val="21"/>
        </w:rPr>
        <w:t>其中，自然语言描述提供宏观上下文，帮助模型理解交易执行逻辑；图卷积机制通过调用对象间的拓扑关系凸显重点节点，帮助模型关注关键合约或函数；自注意力机制则对调用序列进行蒸馏，使模型关注更可能决定交易行为性质的函数路径。三者结合后，大语言模型能够构建“从全面到重点”的交易理解过程。</w:t>
      </w:r>
    </w:p>
    <w:p w14:paraId="3E88CE1E">
      <w:pPr>
        <w:pStyle w:val="5"/>
      </w:pPr>
      <w:r>
        <w:rPr>
          <w:rFonts w:hint="eastAsia" w:eastAsia="宋体"/>
          <w:lang w:val="en-US" w:eastAsia="zh-CN"/>
        </w:rPr>
        <w:t>1</w:t>
      </w:r>
      <w:r>
        <w:t>.4.3 攻击类型覆盖与检测意义</w:t>
      </w:r>
    </w:p>
    <w:p w14:paraId="113E185E">
      <w:pPr>
        <w:jc w:val="center"/>
      </w:pPr>
      <w:r>
        <w:rPr>
          <w:rFonts w:ascii="微软雅黑" w:hAnsi="微软雅黑" w:eastAsia="微软雅黑"/>
          <w:b/>
          <w:sz w:val="18"/>
        </w:rPr>
        <w:t>表7 恶意交易检测覆盖的攻击类型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026F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68EBC0BF">
            <w:pPr>
              <w:spacing w:after="0" w:line="240" w:lineRule="auto"/>
            </w:pPr>
            <w:r>
              <w:rPr>
                <w:rFonts w:ascii="微软雅黑" w:hAnsi="微软雅黑" w:eastAsia="微软雅黑"/>
                <w:b/>
                <w:sz w:val="15"/>
              </w:rPr>
              <w:t>攻击类型</w:t>
            </w:r>
          </w:p>
        </w:tc>
        <w:tc>
          <w:tcPr>
            <w:tcW w:w="3264" w:type="dxa"/>
            <w:shd w:val="clear" w:color="auto" w:fill="D9EAF7"/>
            <w:vAlign w:val="center"/>
          </w:tcPr>
          <w:p w14:paraId="0672948A">
            <w:pPr>
              <w:spacing w:after="0" w:line="240" w:lineRule="auto"/>
            </w:pPr>
            <w:r>
              <w:rPr>
                <w:rFonts w:ascii="微软雅黑" w:hAnsi="微软雅黑" w:eastAsia="微软雅黑"/>
                <w:b/>
                <w:sz w:val="15"/>
              </w:rPr>
              <w:t>交易表现特征</w:t>
            </w:r>
          </w:p>
        </w:tc>
        <w:tc>
          <w:tcPr>
            <w:tcW w:w="3264" w:type="dxa"/>
            <w:shd w:val="clear" w:color="auto" w:fill="D9EAF7"/>
            <w:vAlign w:val="center"/>
          </w:tcPr>
          <w:p w14:paraId="73115203">
            <w:pPr>
              <w:spacing w:after="0" w:line="240" w:lineRule="auto"/>
            </w:pPr>
            <w:r>
              <w:rPr>
                <w:rFonts w:ascii="微软雅黑" w:hAnsi="微软雅黑" w:eastAsia="微软雅黑"/>
                <w:b/>
                <w:sz w:val="15"/>
              </w:rPr>
              <w:t>检测意义</w:t>
            </w:r>
          </w:p>
        </w:tc>
      </w:tr>
      <w:tr w14:paraId="11E04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8878010">
            <w:pPr>
              <w:spacing w:after="0" w:line="240" w:lineRule="auto"/>
            </w:pPr>
            <w:r>
              <w:rPr>
                <w:rFonts w:ascii="微软雅黑" w:hAnsi="微软雅黑" w:eastAsia="微软雅黑"/>
                <w:b w:val="0"/>
                <w:sz w:val="15"/>
              </w:rPr>
              <w:t>Reentrancy</w:t>
            </w:r>
          </w:p>
        </w:tc>
        <w:tc>
          <w:tcPr>
            <w:tcW w:w="3264" w:type="dxa"/>
            <w:vAlign w:val="center"/>
          </w:tcPr>
          <w:p w14:paraId="0B29BA60">
            <w:pPr>
              <w:spacing w:after="0" w:line="240" w:lineRule="auto"/>
            </w:pPr>
            <w:r>
              <w:rPr>
                <w:rFonts w:ascii="微软雅黑" w:hAnsi="微软雅黑" w:eastAsia="微软雅黑"/>
                <w:b w:val="0"/>
                <w:sz w:val="15"/>
              </w:rPr>
              <w:t>重复调用导致异常状态变化或资金损失</w:t>
            </w:r>
          </w:p>
        </w:tc>
        <w:tc>
          <w:tcPr>
            <w:tcW w:w="3264" w:type="dxa"/>
            <w:vAlign w:val="center"/>
          </w:tcPr>
          <w:p w14:paraId="118CF534">
            <w:pPr>
              <w:spacing w:after="0" w:line="240" w:lineRule="auto"/>
            </w:pPr>
            <w:r>
              <w:rPr>
                <w:rFonts w:ascii="微软雅黑" w:hAnsi="微软雅黑" w:eastAsia="微软雅黑"/>
                <w:b w:val="0"/>
                <w:sz w:val="15"/>
              </w:rPr>
              <w:t>检验模型对异常调用链的识别能力</w:t>
            </w:r>
          </w:p>
        </w:tc>
      </w:tr>
      <w:tr w14:paraId="7B08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7C4C10A">
            <w:pPr>
              <w:spacing w:after="0" w:line="240" w:lineRule="auto"/>
            </w:pPr>
            <w:r>
              <w:rPr>
                <w:rFonts w:ascii="微软雅黑" w:hAnsi="微软雅黑" w:eastAsia="微软雅黑"/>
                <w:b w:val="0"/>
                <w:sz w:val="15"/>
              </w:rPr>
              <w:t>Flashloan</w:t>
            </w:r>
          </w:p>
        </w:tc>
        <w:tc>
          <w:tcPr>
            <w:tcW w:w="3264" w:type="dxa"/>
            <w:vAlign w:val="center"/>
          </w:tcPr>
          <w:p w14:paraId="3256F5AD">
            <w:pPr>
              <w:spacing w:after="0" w:line="240" w:lineRule="auto"/>
            </w:pPr>
            <w:r>
              <w:rPr>
                <w:rFonts w:ascii="微软雅黑" w:hAnsi="微软雅黑" w:eastAsia="微软雅黑"/>
                <w:b w:val="0"/>
                <w:sz w:val="15"/>
              </w:rPr>
              <w:t>利用瞬时流动性操纵价格或状态</w:t>
            </w:r>
          </w:p>
        </w:tc>
        <w:tc>
          <w:tcPr>
            <w:tcW w:w="3264" w:type="dxa"/>
            <w:vAlign w:val="center"/>
          </w:tcPr>
          <w:p w14:paraId="3557E16C">
            <w:pPr>
              <w:spacing w:after="0" w:line="240" w:lineRule="auto"/>
            </w:pPr>
            <w:r>
              <w:rPr>
                <w:rFonts w:ascii="微软雅黑" w:hAnsi="微软雅黑" w:eastAsia="微软雅黑"/>
                <w:b w:val="0"/>
                <w:sz w:val="15"/>
              </w:rPr>
              <w:t>检验模型对复杂跨协议交易的理解能力</w:t>
            </w:r>
          </w:p>
        </w:tc>
      </w:tr>
      <w:tr w14:paraId="7749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D79308F">
            <w:pPr>
              <w:spacing w:after="0" w:line="240" w:lineRule="auto"/>
            </w:pPr>
            <w:r>
              <w:rPr>
                <w:rFonts w:ascii="微软雅黑" w:hAnsi="微软雅黑" w:eastAsia="微软雅黑"/>
                <w:b w:val="0"/>
                <w:sz w:val="15"/>
              </w:rPr>
              <w:t>DoS</w:t>
            </w:r>
          </w:p>
        </w:tc>
        <w:tc>
          <w:tcPr>
            <w:tcW w:w="3264" w:type="dxa"/>
            <w:vAlign w:val="center"/>
          </w:tcPr>
          <w:p w14:paraId="180EAB88">
            <w:pPr>
              <w:spacing w:after="0" w:line="240" w:lineRule="auto"/>
            </w:pPr>
            <w:r>
              <w:rPr>
                <w:rFonts w:ascii="微软雅黑" w:hAnsi="微软雅黑" w:eastAsia="微软雅黑"/>
                <w:b w:val="0"/>
                <w:sz w:val="15"/>
              </w:rPr>
              <w:t>异常调用或资源消耗导致服务不可用</w:t>
            </w:r>
          </w:p>
        </w:tc>
        <w:tc>
          <w:tcPr>
            <w:tcW w:w="3264" w:type="dxa"/>
            <w:vAlign w:val="center"/>
          </w:tcPr>
          <w:p w14:paraId="52FA8D38">
            <w:pPr>
              <w:spacing w:after="0" w:line="240" w:lineRule="auto"/>
            </w:pPr>
            <w:r>
              <w:rPr>
                <w:rFonts w:ascii="微软雅黑" w:hAnsi="微软雅黑" w:eastAsia="微软雅黑"/>
                <w:b w:val="0"/>
                <w:sz w:val="15"/>
              </w:rPr>
              <w:t>检验模型对异常执行路径的识别能力</w:t>
            </w:r>
          </w:p>
        </w:tc>
      </w:tr>
      <w:tr w14:paraId="6B53F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468A82C">
            <w:pPr>
              <w:spacing w:after="0" w:line="240" w:lineRule="auto"/>
            </w:pPr>
            <w:r>
              <w:rPr>
                <w:rFonts w:ascii="微软雅黑" w:hAnsi="微软雅黑" w:eastAsia="微软雅黑"/>
                <w:b w:val="0"/>
                <w:sz w:val="15"/>
              </w:rPr>
              <w:t>Front Running</w:t>
            </w:r>
          </w:p>
        </w:tc>
        <w:tc>
          <w:tcPr>
            <w:tcW w:w="3264" w:type="dxa"/>
            <w:vAlign w:val="center"/>
          </w:tcPr>
          <w:p w14:paraId="064517A5">
            <w:pPr>
              <w:spacing w:after="0" w:line="240" w:lineRule="auto"/>
            </w:pPr>
            <w:r>
              <w:rPr>
                <w:rFonts w:ascii="微软雅黑" w:hAnsi="微软雅黑" w:eastAsia="微软雅黑"/>
                <w:b w:val="0"/>
                <w:sz w:val="15"/>
              </w:rPr>
              <w:t>利用交易排序或gas竞争获利</w:t>
            </w:r>
          </w:p>
        </w:tc>
        <w:tc>
          <w:tcPr>
            <w:tcW w:w="3264" w:type="dxa"/>
            <w:vAlign w:val="center"/>
          </w:tcPr>
          <w:p w14:paraId="612C9810">
            <w:pPr>
              <w:spacing w:after="0" w:line="240" w:lineRule="auto"/>
            </w:pPr>
            <w:r>
              <w:rPr>
                <w:rFonts w:ascii="微软雅黑" w:hAnsi="微软雅黑" w:eastAsia="微软雅黑"/>
                <w:b w:val="0"/>
                <w:sz w:val="15"/>
              </w:rPr>
              <w:t>检验模型对交易行为异常的识别能力</w:t>
            </w:r>
          </w:p>
        </w:tc>
      </w:tr>
      <w:tr w14:paraId="22D83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D232F99">
            <w:pPr>
              <w:spacing w:after="0" w:line="240" w:lineRule="auto"/>
            </w:pPr>
            <w:r>
              <w:rPr>
                <w:rFonts w:ascii="微软雅黑" w:hAnsi="微软雅黑" w:eastAsia="微软雅黑"/>
                <w:b w:val="0"/>
                <w:sz w:val="15"/>
              </w:rPr>
              <w:t>Integer Overflow</w:t>
            </w:r>
          </w:p>
        </w:tc>
        <w:tc>
          <w:tcPr>
            <w:tcW w:w="3264" w:type="dxa"/>
            <w:vAlign w:val="center"/>
          </w:tcPr>
          <w:p w14:paraId="60F077A4">
            <w:pPr>
              <w:spacing w:after="0" w:line="240" w:lineRule="auto"/>
            </w:pPr>
            <w:r>
              <w:rPr>
                <w:rFonts w:ascii="微软雅黑" w:hAnsi="微软雅黑" w:eastAsia="微软雅黑"/>
                <w:b w:val="0"/>
                <w:sz w:val="15"/>
              </w:rPr>
              <w:t>数值边界错误导致异常状态</w:t>
            </w:r>
          </w:p>
        </w:tc>
        <w:tc>
          <w:tcPr>
            <w:tcW w:w="3264" w:type="dxa"/>
            <w:vAlign w:val="center"/>
          </w:tcPr>
          <w:p w14:paraId="6701C54A">
            <w:pPr>
              <w:spacing w:after="0" w:line="240" w:lineRule="auto"/>
            </w:pPr>
            <w:r>
              <w:rPr>
                <w:rFonts w:ascii="微软雅黑" w:hAnsi="微软雅黑" w:eastAsia="微软雅黑"/>
                <w:b w:val="0"/>
                <w:sz w:val="15"/>
              </w:rPr>
              <w:t>检验模型对状态变化异常的识别能力</w:t>
            </w:r>
          </w:p>
        </w:tc>
      </w:tr>
    </w:tbl>
    <w:p w14:paraId="1DF0D028"/>
    <w:p w14:paraId="4D58CC1E">
      <w:r>
        <w:rPr>
          <w:rFonts w:ascii="微软雅黑" w:hAnsi="微软雅黑" w:eastAsia="微软雅黑"/>
          <w:b w:val="0"/>
          <w:sz w:val="21"/>
        </w:rPr>
        <w:t>论文实验覆盖重入攻击、闪电贷攻击、拒绝服务攻击、抢跑攻击和整数溢出等典型攻击类型，整体F1范围约为0.775–0.832。这说明模型不仅适用于单一攻击模式，而是能够通过交易调用路径和状态变化语义识别多类异常行为。</w:t>
      </w:r>
    </w:p>
    <w:p w14:paraId="28308E43">
      <w:pPr>
        <w:pStyle w:val="4"/>
      </w:pPr>
      <w:r>
        <w:rPr>
          <w:rFonts w:hint="eastAsia" w:eastAsia="宋体"/>
          <w:lang w:val="en-US" w:eastAsia="zh-CN"/>
        </w:rPr>
        <w:t>1</w:t>
      </w:r>
      <w:r>
        <w:t>.5 系统效率与原型系统结果分析</w:t>
      </w:r>
    </w:p>
    <w:p w14:paraId="7EEE0E25">
      <w:r>
        <w:rPr>
          <w:rFonts w:ascii="微软雅黑" w:hAnsi="微软雅黑" w:eastAsia="微软雅黑"/>
          <w:b w:val="0"/>
          <w:sz w:val="21"/>
        </w:rPr>
        <w:t>AIB2PSec原型系统包括数据池、业务相似度识别模块、恶意检测模块、告警模块和前端展示模块。数据池存储交易树、opcode、模型输入输出和项目分类结果；前端展示包括总览页面、项目分类页面和恶意交易列表页面，使系统具备从数据采集、模型分析到结果展示的完整闭环。</w:t>
      </w:r>
    </w:p>
    <w:p w14:paraId="50E8EB5F">
      <w:pPr>
        <w:jc w:val="center"/>
      </w:pPr>
      <w:r>
        <w:rPr>
          <w:rFonts w:ascii="微软雅黑" w:hAnsi="微软雅黑" w:eastAsia="微软雅黑"/>
          <w:b/>
          <w:sz w:val="18"/>
        </w:rPr>
        <w:t>表8 AIB2PSec检测流程耗时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5476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5F560EAF">
            <w:pPr>
              <w:spacing w:after="0" w:line="240" w:lineRule="auto"/>
            </w:pPr>
            <w:r>
              <w:rPr>
                <w:rFonts w:ascii="微软雅黑" w:hAnsi="微软雅黑" w:eastAsia="微软雅黑"/>
                <w:b/>
                <w:sz w:val="15"/>
              </w:rPr>
              <w:t>处理阶段</w:t>
            </w:r>
          </w:p>
        </w:tc>
        <w:tc>
          <w:tcPr>
            <w:tcW w:w="3264" w:type="dxa"/>
            <w:shd w:val="clear" w:color="auto" w:fill="D9EAF7"/>
            <w:vAlign w:val="center"/>
          </w:tcPr>
          <w:p w14:paraId="2A50A4B3">
            <w:pPr>
              <w:spacing w:after="0" w:line="240" w:lineRule="auto"/>
            </w:pPr>
            <w:r>
              <w:rPr>
                <w:rFonts w:ascii="微软雅黑" w:hAnsi="微软雅黑" w:eastAsia="微软雅黑"/>
                <w:b/>
                <w:sz w:val="15"/>
              </w:rPr>
              <w:t>论文结果</w:t>
            </w:r>
          </w:p>
        </w:tc>
        <w:tc>
          <w:tcPr>
            <w:tcW w:w="3264" w:type="dxa"/>
            <w:shd w:val="clear" w:color="auto" w:fill="D9EAF7"/>
            <w:vAlign w:val="center"/>
          </w:tcPr>
          <w:p w14:paraId="593ABB94">
            <w:pPr>
              <w:spacing w:after="0" w:line="240" w:lineRule="auto"/>
            </w:pPr>
            <w:r>
              <w:rPr>
                <w:rFonts w:ascii="微软雅黑" w:hAnsi="微软雅黑" w:eastAsia="微软雅黑"/>
                <w:b/>
                <w:sz w:val="15"/>
              </w:rPr>
              <w:t>分析意义</w:t>
            </w:r>
          </w:p>
        </w:tc>
      </w:tr>
      <w:tr w14:paraId="69387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E2DC326">
            <w:pPr>
              <w:spacing w:after="0" w:line="240" w:lineRule="auto"/>
            </w:pPr>
            <w:r>
              <w:rPr>
                <w:rFonts w:ascii="微软雅黑" w:hAnsi="微软雅黑" w:eastAsia="微软雅黑"/>
                <w:b w:val="0"/>
                <w:sz w:val="15"/>
              </w:rPr>
              <w:t>JSON/Trace acquisition</w:t>
            </w:r>
          </w:p>
        </w:tc>
        <w:tc>
          <w:tcPr>
            <w:tcW w:w="3264" w:type="dxa"/>
            <w:vAlign w:val="center"/>
          </w:tcPr>
          <w:p w14:paraId="523D46D1">
            <w:pPr>
              <w:spacing w:after="0" w:line="240" w:lineRule="auto"/>
            </w:pPr>
            <w:r>
              <w:rPr>
                <w:rFonts w:ascii="微软雅黑" w:hAnsi="微软雅黑" w:eastAsia="微软雅黑"/>
                <w:b w:val="0"/>
                <w:sz w:val="15"/>
              </w:rPr>
              <w:t>≤4.73s</w:t>
            </w:r>
          </w:p>
        </w:tc>
        <w:tc>
          <w:tcPr>
            <w:tcW w:w="3264" w:type="dxa"/>
            <w:vAlign w:val="center"/>
          </w:tcPr>
          <w:p w14:paraId="0DA5AB24">
            <w:pPr>
              <w:spacing w:after="0" w:line="240" w:lineRule="auto"/>
            </w:pPr>
            <w:r>
              <w:rPr>
                <w:rFonts w:ascii="微软雅黑" w:hAnsi="微软雅黑" w:eastAsia="微软雅黑"/>
                <w:b w:val="0"/>
                <w:sz w:val="15"/>
              </w:rPr>
              <w:t>main chain-data access overhead</w:t>
            </w:r>
          </w:p>
        </w:tc>
      </w:tr>
      <w:tr w14:paraId="7317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8A7795C">
            <w:pPr>
              <w:spacing w:after="0" w:line="240" w:lineRule="auto"/>
            </w:pPr>
            <w:r>
              <w:rPr>
                <w:rFonts w:ascii="微软雅黑" w:hAnsi="微软雅黑" w:eastAsia="微软雅黑"/>
                <w:b w:val="0"/>
                <w:sz w:val="15"/>
              </w:rPr>
              <w:t>CSV construction</w:t>
            </w:r>
          </w:p>
        </w:tc>
        <w:tc>
          <w:tcPr>
            <w:tcW w:w="3264" w:type="dxa"/>
            <w:vAlign w:val="center"/>
          </w:tcPr>
          <w:p w14:paraId="63447327">
            <w:pPr>
              <w:spacing w:after="0" w:line="240" w:lineRule="auto"/>
            </w:pPr>
            <w:r>
              <w:rPr>
                <w:rFonts w:ascii="微软雅黑" w:hAnsi="微软雅黑" w:eastAsia="微软雅黑"/>
                <w:b w:val="0"/>
                <w:sz w:val="15"/>
              </w:rPr>
              <w:t>≤57.3ms</w:t>
            </w:r>
          </w:p>
        </w:tc>
        <w:tc>
          <w:tcPr>
            <w:tcW w:w="3264" w:type="dxa"/>
            <w:vAlign w:val="center"/>
          </w:tcPr>
          <w:p w14:paraId="5EB88C10">
            <w:pPr>
              <w:spacing w:after="0" w:line="240" w:lineRule="auto"/>
            </w:pPr>
            <w:r>
              <w:rPr>
                <w:rFonts w:ascii="微软雅黑" w:hAnsi="微软雅黑" w:eastAsia="微软雅黑"/>
                <w:b w:val="0"/>
                <w:sz w:val="15"/>
              </w:rPr>
              <w:t>low preprocessing cost</w:t>
            </w:r>
          </w:p>
        </w:tc>
      </w:tr>
      <w:tr w14:paraId="796C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76EC762">
            <w:pPr>
              <w:spacing w:after="0" w:line="240" w:lineRule="auto"/>
            </w:pPr>
            <w:r>
              <w:rPr>
                <w:rFonts w:ascii="微软雅黑" w:hAnsi="微软雅黑" w:eastAsia="微软雅黑"/>
                <w:b w:val="0"/>
                <w:sz w:val="15"/>
              </w:rPr>
              <w:t>Natural-language generation</w:t>
            </w:r>
          </w:p>
        </w:tc>
        <w:tc>
          <w:tcPr>
            <w:tcW w:w="3264" w:type="dxa"/>
            <w:vAlign w:val="center"/>
          </w:tcPr>
          <w:p w14:paraId="4CF795CE">
            <w:pPr>
              <w:spacing w:after="0" w:line="240" w:lineRule="auto"/>
            </w:pPr>
            <w:r>
              <w:rPr>
                <w:rFonts w:ascii="微软雅黑" w:hAnsi="微软雅黑" w:eastAsia="微软雅黑"/>
                <w:b w:val="0"/>
                <w:sz w:val="15"/>
              </w:rPr>
              <w:t>≤227.3ms</w:t>
            </w:r>
          </w:p>
        </w:tc>
        <w:tc>
          <w:tcPr>
            <w:tcW w:w="3264" w:type="dxa"/>
            <w:vAlign w:val="center"/>
          </w:tcPr>
          <w:p w14:paraId="5818C458">
            <w:pPr>
              <w:spacing w:after="0" w:line="240" w:lineRule="auto"/>
            </w:pPr>
            <w:r>
              <w:rPr>
                <w:rFonts w:ascii="微软雅黑" w:hAnsi="微软雅黑" w:eastAsia="微软雅黑"/>
                <w:b w:val="0"/>
                <w:sz w:val="15"/>
              </w:rPr>
              <w:t>acceptable semantic-generation cost</w:t>
            </w:r>
          </w:p>
        </w:tc>
      </w:tr>
      <w:tr w14:paraId="38BE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F3D43B4">
            <w:pPr>
              <w:spacing w:after="0" w:line="240" w:lineRule="auto"/>
            </w:pPr>
            <w:r>
              <w:rPr>
                <w:rFonts w:ascii="微软雅黑" w:hAnsi="微软雅黑" w:eastAsia="微软雅黑"/>
                <w:b w:val="0"/>
                <w:sz w:val="15"/>
              </w:rPr>
              <w:t>LLM detection</w:t>
            </w:r>
          </w:p>
        </w:tc>
        <w:tc>
          <w:tcPr>
            <w:tcW w:w="3264" w:type="dxa"/>
            <w:vAlign w:val="center"/>
          </w:tcPr>
          <w:p w14:paraId="3FBF5CBA">
            <w:pPr>
              <w:spacing w:after="0" w:line="240" w:lineRule="auto"/>
            </w:pPr>
            <w:r>
              <w:rPr>
                <w:rFonts w:ascii="微软雅黑" w:hAnsi="微软雅黑" w:eastAsia="微软雅黑"/>
                <w:b w:val="0"/>
                <w:sz w:val="15"/>
              </w:rPr>
              <w:t>≤6.07s</w:t>
            </w:r>
          </w:p>
        </w:tc>
        <w:tc>
          <w:tcPr>
            <w:tcW w:w="3264" w:type="dxa"/>
            <w:vAlign w:val="center"/>
          </w:tcPr>
          <w:p w14:paraId="662AA7AE">
            <w:pPr>
              <w:spacing w:after="0" w:line="240" w:lineRule="auto"/>
            </w:pPr>
            <w:r>
              <w:rPr>
                <w:rFonts w:ascii="微软雅黑" w:hAnsi="微软雅黑" w:eastAsia="微软雅黑"/>
                <w:b w:val="0"/>
                <w:sz w:val="15"/>
              </w:rPr>
              <w:t>main inference cost</w:t>
            </w:r>
          </w:p>
        </w:tc>
      </w:tr>
      <w:tr w14:paraId="324D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E2C5C6E">
            <w:pPr>
              <w:spacing w:after="0" w:line="240" w:lineRule="auto"/>
            </w:pPr>
            <w:r>
              <w:rPr>
                <w:rFonts w:ascii="微软雅黑" w:hAnsi="微软雅黑" w:eastAsia="微软雅黑"/>
                <w:b w:val="0"/>
                <w:sz w:val="15"/>
              </w:rPr>
              <w:t>Full pipeline / 44 tx</w:t>
            </w:r>
          </w:p>
        </w:tc>
        <w:tc>
          <w:tcPr>
            <w:tcW w:w="3264" w:type="dxa"/>
            <w:vAlign w:val="center"/>
          </w:tcPr>
          <w:p w14:paraId="3CFB69CD">
            <w:pPr>
              <w:spacing w:after="0" w:line="240" w:lineRule="auto"/>
            </w:pPr>
            <w:r>
              <w:rPr>
                <w:rFonts w:ascii="微软雅黑" w:hAnsi="微软雅黑" w:eastAsia="微软雅黑"/>
                <w:b w:val="0"/>
                <w:sz w:val="15"/>
              </w:rPr>
              <w:t>≤11.72s</w:t>
            </w:r>
          </w:p>
        </w:tc>
        <w:tc>
          <w:tcPr>
            <w:tcW w:w="3264" w:type="dxa"/>
            <w:vAlign w:val="center"/>
          </w:tcPr>
          <w:p w14:paraId="4D3BD601">
            <w:pPr>
              <w:spacing w:after="0" w:line="240" w:lineRule="auto"/>
            </w:pPr>
            <w:r>
              <w:rPr>
                <w:rFonts w:ascii="微软雅黑" w:hAnsi="微软雅黑" w:eastAsia="微软雅黑"/>
                <w:b w:val="0"/>
                <w:sz w:val="15"/>
              </w:rPr>
              <w:t>near-real-time off-chain feasibility</w:t>
            </w:r>
          </w:p>
        </w:tc>
      </w:tr>
    </w:tbl>
    <w:p w14:paraId="38E64F4C"/>
    <w:p w14:paraId="42CD3628">
      <w:r>
        <w:drawing>
          <wp:inline distT="0" distB="0" distL="114300" distR="114300">
            <wp:extent cx="5669280" cy="3100070"/>
            <wp:effectExtent l="0" t="0" r="762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3100685"/>
                    </a:xfrm>
                    <a:prstGeom prst="rect">
                      <a:avLst/>
                    </a:prstGeom>
                  </pic:spPr>
                </pic:pic>
              </a:graphicData>
            </a:graphic>
          </wp:inline>
        </w:drawing>
      </w:r>
    </w:p>
    <w:p w14:paraId="5A324101">
      <w:pPr>
        <w:jc w:val="center"/>
      </w:pPr>
      <w:r>
        <w:rPr>
          <w:rFonts w:ascii="微软雅黑" w:hAnsi="微软雅黑" w:eastAsia="微软雅黑"/>
          <w:b/>
          <w:sz w:val="18"/>
        </w:rPr>
        <w:t>图5 AIB2PSec各处理阶段耗时</w:t>
      </w:r>
    </w:p>
    <w:p w14:paraId="1C1FBFBB">
      <w:r>
        <w:rPr>
          <w:rFonts w:ascii="微软雅黑" w:hAnsi="微软雅黑" w:eastAsia="微软雅黑"/>
          <w:b w:val="0"/>
          <w:sz w:val="21"/>
        </w:rPr>
        <w:t>效率实验显示，44条交易全流程检测不超过11.72秒，能够满足以太坊约13秒出块间隔下的链下准实时分析需求。分阶段看，主要耗时来自JSON/Trace获取和LLM推理；CSV生成与自然语段生成开销较低，说明自然语言生成不是主要瓶颈。未来提升效率的重点应集中在链上数据访问优化与LLM推理轻量化。</w:t>
      </w:r>
    </w:p>
    <w:p w14:paraId="363AB7D7">
      <w:pPr>
        <w:jc w:val="center"/>
      </w:pPr>
      <w:r>
        <w:rPr>
          <w:rFonts w:ascii="微软雅黑" w:hAnsi="微软雅黑" w:eastAsia="微软雅黑"/>
          <w:b/>
          <w:sz w:val="18"/>
        </w:rPr>
        <w:t>表9 AIB2PSec原型系统功能分析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52EB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5218A58E">
            <w:pPr>
              <w:spacing w:after="0" w:line="240" w:lineRule="auto"/>
            </w:pPr>
            <w:r>
              <w:rPr>
                <w:rFonts w:ascii="微软雅黑" w:hAnsi="微软雅黑" w:eastAsia="微软雅黑"/>
                <w:b/>
                <w:sz w:val="15"/>
              </w:rPr>
              <w:t>系统模块</w:t>
            </w:r>
          </w:p>
        </w:tc>
        <w:tc>
          <w:tcPr>
            <w:tcW w:w="3264" w:type="dxa"/>
            <w:shd w:val="clear" w:color="auto" w:fill="D9EAF7"/>
            <w:vAlign w:val="center"/>
          </w:tcPr>
          <w:p w14:paraId="604D4977">
            <w:pPr>
              <w:spacing w:after="0" w:line="240" w:lineRule="auto"/>
            </w:pPr>
            <w:r>
              <w:rPr>
                <w:rFonts w:ascii="微软雅黑" w:hAnsi="微软雅黑" w:eastAsia="微软雅黑"/>
                <w:b/>
                <w:sz w:val="15"/>
              </w:rPr>
              <w:t>主要功能</w:t>
            </w:r>
          </w:p>
        </w:tc>
        <w:tc>
          <w:tcPr>
            <w:tcW w:w="3264" w:type="dxa"/>
            <w:shd w:val="clear" w:color="auto" w:fill="D9EAF7"/>
            <w:vAlign w:val="center"/>
          </w:tcPr>
          <w:p w14:paraId="23A0593E">
            <w:pPr>
              <w:spacing w:after="0" w:line="240" w:lineRule="auto"/>
            </w:pPr>
            <w:r>
              <w:rPr>
                <w:rFonts w:ascii="微软雅黑" w:hAnsi="微软雅黑" w:eastAsia="微软雅黑"/>
                <w:b/>
                <w:sz w:val="15"/>
              </w:rPr>
              <w:t>结果分析意义</w:t>
            </w:r>
          </w:p>
        </w:tc>
      </w:tr>
      <w:tr w14:paraId="6B45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A63FC0C">
            <w:pPr>
              <w:spacing w:after="0" w:line="240" w:lineRule="auto"/>
            </w:pPr>
            <w:r>
              <w:rPr>
                <w:rFonts w:ascii="微软雅黑" w:hAnsi="微软雅黑" w:eastAsia="微软雅黑"/>
                <w:b w:val="0"/>
                <w:sz w:val="15"/>
              </w:rPr>
              <w:t>数据池</w:t>
            </w:r>
          </w:p>
        </w:tc>
        <w:tc>
          <w:tcPr>
            <w:tcW w:w="3264" w:type="dxa"/>
            <w:vAlign w:val="center"/>
          </w:tcPr>
          <w:p w14:paraId="6BCD5191">
            <w:pPr>
              <w:spacing w:after="0" w:line="240" w:lineRule="auto"/>
            </w:pPr>
            <w:r>
              <w:rPr>
                <w:rFonts w:ascii="微软雅黑" w:hAnsi="微软雅黑" w:eastAsia="微软雅黑"/>
                <w:b w:val="0"/>
                <w:sz w:val="15"/>
              </w:rPr>
              <w:t>存储交易树、opcode、模型数据和项目分类结果</w:t>
            </w:r>
          </w:p>
        </w:tc>
        <w:tc>
          <w:tcPr>
            <w:tcW w:w="3264" w:type="dxa"/>
            <w:vAlign w:val="center"/>
          </w:tcPr>
          <w:p w14:paraId="0FDA9667">
            <w:pPr>
              <w:spacing w:after="0" w:line="240" w:lineRule="auto"/>
            </w:pPr>
            <w:r>
              <w:rPr>
                <w:rFonts w:ascii="微软雅黑" w:hAnsi="微软雅黑" w:eastAsia="微软雅黑"/>
                <w:b w:val="0"/>
                <w:sz w:val="15"/>
              </w:rPr>
              <w:t>保证检测流程可追溯</w:t>
            </w:r>
          </w:p>
        </w:tc>
      </w:tr>
      <w:tr w14:paraId="6150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B9FABBC">
            <w:pPr>
              <w:spacing w:after="0" w:line="240" w:lineRule="auto"/>
            </w:pPr>
            <w:r>
              <w:rPr>
                <w:rFonts w:ascii="微软雅黑" w:hAnsi="微软雅黑" w:eastAsia="微软雅黑"/>
                <w:b w:val="0"/>
                <w:sz w:val="15"/>
              </w:rPr>
              <w:t>业务相似度识别</w:t>
            </w:r>
          </w:p>
        </w:tc>
        <w:tc>
          <w:tcPr>
            <w:tcW w:w="3264" w:type="dxa"/>
            <w:vAlign w:val="center"/>
          </w:tcPr>
          <w:p w14:paraId="486FDA28">
            <w:pPr>
              <w:spacing w:after="0" w:line="240" w:lineRule="auto"/>
            </w:pPr>
            <w:r>
              <w:rPr>
                <w:rFonts w:ascii="微软雅黑" w:hAnsi="微软雅黑" w:eastAsia="微软雅黑"/>
                <w:b w:val="0"/>
                <w:sz w:val="15"/>
              </w:rPr>
              <w:t>识别项目业务类别和相似项目集合</w:t>
            </w:r>
          </w:p>
        </w:tc>
        <w:tc>
          <w:tcPr>
            <w:tcW w:w="3264" w:type="dxa"/>
            <w:vAlign w:val="center"/>
          </w:tcPr>
          <w:p w14:paraId="3D74AF26">
            <w:pPr>
              <w:spacing w:after="0" w:line="240" w:lineRule="auto"/>
            </w:pPr>
            <w:r>
              <w:rPr>
                <w:rFonts w:ascii="微软雅黑" w:hAnsi="微软雅黑" w:eastAsia="微软雅黑"/>
                <w:b w:val="0"/>
                <w:sz w:val="15"/>
              </w:rPr>
              <w:t>为项目级风险联动提供基础</w:t>
            </w:r>
          </w:p>
        </w:tc>
      </w:tr>
      <w:tr w14:paraId="23C6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854BD30">
            <w:pPr>
              <w:spacing w:after="0" w:line="240" w:lineRule="auto"/>
            </w:pPr>
            <w:r>
              <w:rPr>
                <w:rFonts w:ascii="微软雅黑" w:hAnsi="微软雅黑" w:eastAsia="微软雅黑"/>
                <w:b w:val="0"/>
                <w:sz w:val="15"/>
              </w:rPr>
              <w:t>恶意检测</w:t>
            </w:r>
          </w:p>
        </w:tc>
        <w:tc>
          <w:tcPr>
            <w:tcW w:w="3264" w:type="dxa"/>
            <w:vAlign w:val="center"/>
          </w:tcPr>
          <w:p w14:paraId="6ED3D0FD">
            <w:pPr>
              <w:spacing w:after="0" w:line="240" w:lineRule="auto"/>
            </w:pPr>
            <w:r>
              <w:rPr>
                <w:rFonts w:ascii="微软雅黑" w:hAnsi="微软雅黑" w:eastAsia="微软雅黑"/>
                <w:b w:val="0"/>
                <w:sz w:val="15"/>
              </w:rPr>
              <w:t>判断交易是否为恶意交易</w:t>
            </w:r>
          </w:p>
        </w:tc>
        <w:tc>
          <w:tcPr>
            <w:tcW w:w="3264" w:type="dxa"/>
            <w:vAlign w:val="center"/>
          </w:tcPr>
          <w:p w14:paraId="16611855">
            <w:pPr>
              <w:spacing w:after="0" w:line="240" w:lineRule="auto"/>
            </w:pPr>
            <w:r>
              <w:rPr>
                <w:rFonts w:ascii="微软雅黑" w:hAnsi="微软雅黑" w:eastAsia="微软雅黑"/>
                <w:b w:val="0"/>
                <w:sz w:val="15"/>
              </w:rPr>
              <w:t>提供当前项目风险判断</w:t>
            </w:r>
          </w:p>
        </w:tc>
      </w:tr>
      <w:tr w14:paraId="1F57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AC3F5B6">
            <w:pPr>
              <w:spacing w:after="0" w:line="240" w:lineRule="auto"/>
            </w:pPr>
            <w:r>
              <w:rPr>
                <w:rFonts w:ascii="微软雅黑" w:hAnsi="微软雅黑" w:eastAsia="微软雅黑"/>
                <w:b w:val="0"/>
                <w:sz w:val="15"/>
              </w:rPr>
              <w:t>告警响应</w:t>
            </w:r>
          </w:p>
        </w:tc>
        <w:tc>
          <w:tcPr>
            <w:tcW w:w="3264" w:type="dxa"/>
            <w:vAlign w:val="center"/>
          </w:tcPr>
          <w:p w14:paraId="234C8A61">
            <w:pPr>
              <w:spacing w:after="0" w:line="240" w:lineRule="auto"/>
            </w:pPr>
            <w:r>
              <w:rPr>
                <w:rFonts w:ascii="微软雅黑" w:hAnsi="微软雅黑" w:eastAsia="微软雅黑"/>
                <w:b w:val="0"/>
                <w:sz w:val="15"/>
              </w:rPr>
              <w:t>对被攻击项目响应，并通知相似项目</w:t>
            </w:r>
          </w:p>
        </w:tc>
        <w:tc>
          <w:tcPr>
            <w:tcW w:w="3264" w:type="dxa"/>
            <w:vAlign w:val="center"/>
          </w:tcPr>
          <w:p w14:paraId="05E31304">
            <w:pPr>
              <w:spacing w:after="0" w:line="240" w:lineRule="auto"/>
            </w:pPr>
            <w:r>
              <w:rPr>
                <w:rFonts w:ascii="微软雅黑" w:hAnsi="微软雅黑" w:eastAsia="微软雅黑"/>
                <w:b w:val="0"/>
                <w:sz w:val="15"/>
              </w:rPr>
              <w:t>实现从检测到预警的安全闭环</w:t>
            </w:r>
          </w:p>
        </w:tc>
      </w:tr>
      <w:tr w14:paraId="1FAA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7B52A4E">
            <w:pPr>
              <w:spacing w:after="0" w:line="240" w:lineRule="auto"/>
            </w:pPr>
            <w:r>
              <w:rPr>
                <w:rFonts w:ascii="微软雅黑" w:hAnsi="微软雅黑" w:eastAsia="微软雅黑"/>
                <w:b w:val="0"/>
                <w:sz w:val="15"/>
              </w:rPr>
              <w:t>项目分类页面</w:t>
            </w:r>
          </w:p>
        </w:tc>
        <w:tc>
          <w:tcPr>
            <w:tcW w:w="3264" w:type="dxa"/>
            <w:vAlign w:val="center"/>
          </w:tcPr>
          <w:p w14:paraId="45F35E2E">
            <w:pPr>
              <w:spacing w:after="0" w:line="240" w:lineRule="auto"/>
            </w:pPr>
            <w:r>
              <w:rPr>
                <w:rFonts w:ascii="微软雅黑" w:hAnsi="微软雅黑" w:eastAsia="微软雅黑"/>
                <w:b w:val="0"/>
                <w:sz w:val="15"/>
              </w:rPr>
              <w:t>展示不同业务类型的项目</w:t>
            </w:r>
          </w:p>
        </w:tc>
        <w:tc>
          <w:tcPr>
            <w:tcW w:w="3264" w:type="dxa"/>
            <w:vAlign w:val="center"/>
          </w:tcPr>
          <w:p w14:paraId="3A2985EC">
            <w:pPr>
              <w:spacing w:after="0" w:line="240" w:lineRule="auto"/>
            </w:pPr>
            <w:r>
              <w:rPr>
                <w:rFonts w:ascii="微软雅黑" w:hAnsi="微软雅黑" w:eastAsia="微软雅黑"/>
                <w:b w:val="0"/>
                <w:sz w:val="15"/>
              </w:rPr>
              <w:t>支持项目级安全管理</w:t>
            </w:r>
          </w:p>
        </w:tc>
      </w:tr>
      <w:tr w14:paraId="3F94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3CEA3A3">
            <w:pPr>
              <w:spacing w:after="0" w:line="240" w:lineRule="auto"/>
            </w:pPr>
            <w:r>
              <w:rPr>
                <w:rFonts w:ascii="微软雅黑" w:hAnsi="微软雅黑" w:eastAsia="微软雅黑"/>
                <w:b w:val="0"/>
                <w:sz w:val="15"/>
              </w:rPr>
              <w:t>恶意交易列表</w:t>
            </w:r>
          </w:p>
        </w:tc>
        <w:tc>
          <w:tcPr>
            <w:tcW w:w="3264" w:type="dxa"/>
            <w:vAlign w:val="center"/>
          </w:tcPr>
          <w:p w14:paraId="03FF3156">
            <w:pPr>
              <w:spacing w:after="0" w:line="240" w:lineRule="auto"/>
            </w:pPr>
            <w:r>
              <w:rPr>
                <w:rFonts w:ascii="微软雅黑" w:hAnsi="微软雅黑" w:eastAsia="微软雅黑"/>
                <w:b w:val="0"/>
                <w:sz w:val="15"/>
              </w:rPr>
              <w:t>展示恶意交易哈希、区块号和攻击类型</w:t>
            </w:r>
          </w:p>
        </w:tc>
        <w:tc>
          <w:tcPr>
            <w:tcW w:w="3264" w:type="dxa"/>
            <w:vAlign w:val="center"/>
          </w:tcPr>
          <w:p w14:paraId="2C879747">
            <w:pPr>
              <w:spacing w:after="0" w:line="240" w:lineRule="auto"/>
            </w:pPr>
            <w:r>
              <w:rPr>
                <w:rFonts w:ascii="微软雅黑" w:hAnsi="微软雅黑" w:eastAsia="微软雅黑"/>
                <w:b w:val="0"/>
                <w:sz w:val="15"/>
              </w:rPr>
              <w:t>支持审计、复盘和后续分析</w:t>
            </w:r>
          </w:p>
        </w:tc>
      </w:tr>
    </w:tbl>
    <w:p w14:paraId="0EC639EC"/>
    <w:p w14:paraId="1E44BEA3">
      <w:pPr>
        <w:pStyle w:val="4"/>
      </w:pPr>
      <w:r>
        <w:rPr>
          <w:rFonts w:hint="eastAsia" w:eastAsia="宋体"/>
          <w:lang w:val="en-US" w:eastAsia="zh-CN"/>
        </w:rPr>
        <w:t>1</w:t>
      </w:r>
      <w:r>
        <w:t>.6 综合分析与最终结论</w:t>
      </w:r>
    </w:p>
    <w:p w14:paraId="39D72A1D">
      <w:r>
        <w:drawing>
          <wp:inline distT="0" distB="0" distL="114300" distR="114300">
            <wp:extent cx="5669280" cy="2752725"/>
            <wp:effectExtent l="0" t="0" r="762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2752844"/>
                    </a:xfrm>
                    <a:prstGeom prst="rect">
                      <a:avLst/>
                    </a:prstGeom>
                  </pic:spPr>
                </pic:pic>
              </a:graphicData>
            </a:graphic>
          </wp:inline>
        </w:drawing>
      </w:r>
    </w:p>
    <w:p w14:paraId="77486B35">
      <w:pPr>
        <w:jc w:val="center"/>
      </w:pPr>
      <w:r>
        <w:rPr>
          <w:rFonts w:ascii="微软雅黑" w:hAnsi="微软雅黑" w:eastAsia="微软雅黑"/>
          <w:b/>
          <w:sz w:val="18"/>
        </w:rPr>
        <w:t>图6 从实验结果到研究结论的对应关系</w:t>
      </w:r>
    </w:p>
    <w:p w14:paraId="2812412B">
      <w:r>
        <w:rPr>
          <w:rFonts w:ascii="微软雅黑" w:hAnsi="微软雅黑" w:eastAsia="微软雅黑"/>
          <w:b w:val="0"/>
          <w:sz w:val="21"/>
        </w:rPr>
        <w:t>综合实验结果可以得出三个结论。第一，业务主干图能够较好表达项目级结构特征，GCN在五类项目中的稳定表现说明运行时跨合约调用关系可以作为项目分类和相似性识别的有效依据。第二，交易自然语言描述能够提升大语言模型对恶意交易的理解能力，完整增强模板的结果说明交易语义、关键对象和函数序列是互补信息。第三，原型系统的处理效率表明AIB2PSec具备链下准实时检测潜力。</w:t>
      </w:r>
    </w:p>
    <w:p w14:paraId="731559B8">
      <w:r>
        <w:rPr>
          <w:rFonts w:ascii="微软雅黑" w:hAnsi="微软雅黑" w:eastAsia="微软雅黑"/>
          <w:b w:val="0"/>
          <w:sz w:val="21"/>
        </w:rPr>
        <w:t>从研究贡献看，AIB2PSec将传统智能合约安全分析从“单合约源码审计”推进到“项目级运行时行为分析”。GNN模块解决“哪些项目业务逻辑相似”的问题，LLM模块解决“当前交易是否恶意”的问题，系统告警模块解决“检测结果如何转化为相似项目预警”的问题。三者结合形成了完整的项目级自动化恶意检测流程。</w:t>
      </w:r>
    </w:p>
    <w:p w14:paraId="610E01FC">
      <w:pPr>
        <w:jc w:val="center"/>
      </w:pPr>
      <w:r>
        <w:rPr>
          <w:rFonts w:ascii="微软雅黑" w:hAnsi="微软雅黑" w:eastAsia="微软雅黑"/>
          <w:b/>
          <w:sz w:val="18"/>
        </w:rPr>
        <w:t>表10 实验结果与研究结论汇总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8E2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2F4AA856">
            <w:pPr>
              <w:spacing w:after="0" w:line="240" w:lineRule="auto"/>
            </w:pPr>
            <w:r>
              <w:rPr>
                <w:rFonts w:ascii="微软雅黑" w:hAnsi="微软雅黑" w:eastAsia="微软雅黑"/>
                <w:b/>
                <w:sz w:val="15"/>
              </w:rPr>
              <w:t>结果层次</w:t>
            </w:r>
          </w:p>
        </w:tc>
        <w:tc>
          <w:tcPr>
            <w:tcW w:w="3264" w:type="dxa"/>
            <w:shd w:val="clear" w:color="auto" w:fill="D9EAF7"/>
            <w:vAlign w:val="center"/>
          </w:tcPr>
          <w:p w14:paraId="7FF9A7B2">
            <w:pPr>
              <w:spacing w:after="0" w:line="240" w:lineRule="auto"/>
            </w:pPr>
            <w:r>
              <w:rPr>
                <w:rFonts w:ascii="微软雅黑" w:hAnsi="微软雅黑" w:eastAsia="微软雅黑"/>
                <w:b/>
                <w:sz w:val="15"/>
              </w:rPr>
              <w:t>关键结果</w:t>
            </w:r>
          </w:p>
        </w:tc>
        <w:tc>
          <w:tcPr>
            <w:tcW w:w="3264" w:type="dxa"/>
            <w:shd w:val="clear" w:color="auto" w:fill="D9EAF7"/>
            <w:vAlign w:val="center"/>
          </w:tcPr>
          <w:p w14:paraId="7D7B7C00">
            <w:pPr>
              <w:spacing w:after="0" w:line="240" w:lineRule="auto"/>
            </w:pPr>
            <w:r>
              <w:rPr>
                <w:rFonts w:ascii="微软雅黑" w:hAnsi="微软雅黑" w:eastAsia="微软雅黑"/>
                <w:b/>
                <w:sz w:val="15"/>
              </w:rPr>
              <w:t>支撑结论</w:t>
            </w:r>
          </w:p>
        </w:tc>
      </w:tr>
      <w:tr w14:paraId="55676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9AF638C">
            <w:pPr>
              <w:spacing w:after="0" w:line="240" w:lineRule="auto"/>
            </w:pPr>
            <w:r>
              <w:rPr>
                <w:rFonts w:ascii="微软雅黑" w:hAnsi="微软雅黑" w:eastAsia="微软雅黑"/>
                <w:b w:val="0"/>
                <w:sz w:val="15"/>
              </w:rPr>
              <w:t>结构识别</w:t>
            </w:r>
          </w:p>
        </w:tc>
        <w:tc>
          <w:tcPr>
            <w:tcW w:w="3264" w:type="dxa"/>
            <w:vAlign w:val="center"/>
          </w:tcPr>
          <w:p w14:paraId="14945621">
            <w:pPr>
              <w:spacing w:after="0" w:line="240" w:lineRule="auto"/>
            </w:pPr>
            <w:r>
              <w:rPr>
                <w:rFonts w:ascii="微软雅黑" w:hAnsi="微软雅黑" w:eastAsia="微软雅黑"/>
                <w:b w:val="0"/>
                <w:sz w:val="15"/>
              </w:rPr>
              <w:t>GCN平均F1=0.830，五类项目表现均衡</w:t>
            </w:r>
          </w:p>
        </w:tc>
        <w:tc>
          <w:tcPr>
            <w:tcW w:w="3264" w:type="dxa"/>
            <w:vAlign w:val="center"/>
          </w:tcPr>
          <w:p w14:paraId="244500FE">
            <w:pPr>
              <w:spacing w:after="0" w:line="240" w:lineRule="auto"/>
            </w:pPr>
            <w:r>
              <w:rPr>
                <w:rFonts w:ascii="微软雅黑" w:hAnsi="微软雅黑" w:eastAsia="微软雅黑"/>
                <w:b w:val="0"/>
                <w:sz w:val="15"/>
              </w:rPr>
              <w:t>业务主干图能够表达项目业务逻辑</w:t>
            </w:r>
          </w:p>
        </w:tc>
      </w:tr>
      <w:tr w14:paraId="2811A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0A3F123">
            <w:pPr>
              <w:spacing w:after="0" w:line="240" w:lineRule="auto"/>
            </w:pPr>
            <w:r>
              <w:rPr>
                <w:rFonts w:ascii="微软雅黑" w:hAnsi="微软雅黑" w:eastAsia="微软雅黑"/>
                <w:b w:val="0"/>
                <w:sz w:val="15"/>
              </w:rPr>
              <w:t>复用识别</w:t>
            </w:r>
          </w:p>
        </w:tc>
        <w:tc>
          <w:tcPr>
            <w:tcW w:w="3264" w:type="dxa"/>
            <w:vAlign w:val="center"/>
          </w:tcPr>
          <w:p w14:paraId="01ABDFE5">
            <w:pPr>
              <w:spacing w:after="0" w:line="240" w:lineRule="auto"/>
            </w:pPr>
            <w:r>
              <w:rPr>
                <w:rFonts w:ascii="微软雅黑" w:hAnsi="微软雅黑" w:eastAsia="微软雅黑"/>
                <w:b w:val="0"/>
                <w:sz w:val="15"/>
              </w:rPr>
              <w:t>约37%交易特征来自代码复用项目，最佳模型约78%准确分类</w:t>
            </w:r>
          </w:p>
        </w:tc>
        <w:tc>
          <w:tcPr>
            <w:tcW w:w="3264" w:type="dxa"/>
            <w:vAlign w:val="center"/>
          </w:tcPr>
          <w:p w14:paraId="04F4E279">
            <w:pPr>
              <w:spacing w:after="0" w:line="240" w:lineRule="auto"/>
            </w:pPr>
            <w:r>
              <w:rPr>
                <w:rFonts w:ascii="微软雅黑" w:hAnsi="微软雅黑" w:eastAsia="微软雅黑"/>
                <w:b w:val="0"/>
                <w:sz w:val="15"/>
              </w:rPr>
              <w:t>相似项目联动预警具有现实基础</w:t>
            </w:r>
          </w:p>
        </w:tc>
      </w:tr>
      <w:tr w14:paraId="5E12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47D4E21">
            <w:pPr>
              <w:spacing w:after="0" w:line="240" w:lineRule="auto"/>
            </w:pPr>
            <w:r>
              <w:rPr>
                <w:rFonts w:ascii="微软雅黑" w:hAnsi="微软雅黑" w:eastAsia="微软雅黑"/>
                <w:b w:val="0"/>
                <w:sz w:val="15"/>
              </w:rPr>
              <w:t>恶意检测</w:t>
            </w:r>
          </w:p>
        </w:tc>
        <w:tc>
          <w:tcPr>
            <w:tcW w:w="3264" w:type="dxa"/>
            <w:vAlign w:val="center"/>
          </w:tcPr>
          <w:p w14:paraId="12E9CFA0">
            <w:pPr>
              <w:spacing w:after="0" w:line="240" w:lineRule="auto"/>
            </w:pPr>
            <w:r>
              <w:rPr>
                <w:rFonts w:ascii="微软雅黑" w:hAnsi="微软雅黑" w:eastAsia="微软雅黑"/>
                <w:b w:val="0"/>
                <w:sz w:val="15"/>
              </w:rPr>
              <w:t>完整模板F1=0.801</w:t>
            </w:r>
          </w:p>
        </w:tc>
        <w:tc>
          <w:tcPr>
            <w:tcW w:w="3264" w:type="dxa"/>
            <w:vAlign w:val="center"/>
          </w:tcPr>
          <w:p w14:paraId="02C0BBB1">
            <w:pPr>
              <w:spacing w:after="0" w:line="240" w:lineRule="auto"/>
            </w:pPr>
            <w:r>
              <w:rPr>
                <w:rFonts w:ascii="微软雅黑" w:hAnsi="微软雅黑" w:eastAsia="微软雅黑"/>
                <w:b w:val="0"/>
                <w:sz w:val="15"/>
              </w:rPr>
              <w:t>自然语言增强与关键路径提示有效</w:t>
            </w:r>
          </w:p>
        </w:tc>
      </w:tr>
      <w:tr w14:paraId="5F04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D0ADE01">
            <w:pPr>
              <w:spacing w:after="0" w:line="240" w:lineRule="auto"/>
            </w:pPr>
            <w:r>
              <w:rPr>
                <w:rFonts w:ascii="微软雅黑" w:hAnsi="微软雅黑" w:eastAsia="微软雅黑"/>
                <w:b w:val="0"/>
                <w:sz w:val="15"/>
              </w:rPr>
              <w:t>攻击覆盖</w:t>
            </w:r>
          </w:p>
        </w:tc>
        <w:tc>
          <w:tcPr>
            <w:tcW w:w="3264" w:type="dxa"/>
            <w:vAlign w:val="center"/>
          </w:tcPr>
          <w:p w14:paraId="28EE5C2B">
            <w:pPr>
              <w:spacing w:after="0" w:line="240" w:lineRule="auto"/>
            </w:pPr>
            <w:r>
              <w:rPr>
                <w:rFonts w:ascii="微软雅黑" w:hAnsi="微软雅黑" w:eastAsia="微软雅黑"/>
                <w:b w:val="0"/>
                <w:sz w:val="15"/>
              </w:rPr>
              <w:t>多类攻击F1约0.775–0.832</w:t>
            </w:r>
          </w:p>
        </w:tc>
        <w:tc>
          <w:tcPr>
            <w:tcW w:w="3264" w:type="dxa"/>
            <w:vAlign w:val="center"/>
          </w:tcPr>
          <w:p w14:paraId="7919E440">
            <w:pPr>
              <w:spacing w:after="0" w:line="240" w:lineRule="auto"/>
            </w:pPr>
            <w:r>
              <w:rPr>
                <w:rFonts w:ascii="微软雅黑" w:hAnsi="微软雅黑" w:eastAsia="微软雅黑"/>
                <w:b w:val="0"/>
                <w:sz w:val="15"/>
              </w:rPr>
              <w:t>方法具备多攻击类型适应性</w:t>
            </w:r>
          </w:p>
        </w:tc>
      </w:tr>
      <w:tr w14:paraId="23797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4A90958">
            <w:pPr>
              <w:spacing w:after="0" w:line="240" w:lineRule="auto"/>
            </w:pPr>
            <w:r>
              <w:rPr>
                <w:rFonts w:ascii="微软雅黑" w:hAnsi="微软雅黑" w:eastAsia="微软雅黑"/>
                <w:b w:val="0"/>
                <w:sz w:val="15"/>
              </w:rPr>
              <w:t>系统效率</w:t>
            </w:r>
          </w:p>
        </w:tc>
        <w:tc>
          <w:tcPr>
            <w:tcW w:w="3264" w:type="dxa"/>
            <w:vAlign w:val="center"/>
          </w:tcPr>
          <w:p w14:paraId="4DED4053">
            <w:pPr>
              <w:spacing w:after="0" w:line="240" w:lineRule="auto"/>
            </w:pPr>
            <w:r>
              <w:rPr>
                <w:rFonts w:ascii="微软雅黑" w:hAnsi="微软雅黑" w:eastAsia="微软雅黑"/>
                <w:b w:val="0"/>
                <w:sz w:val="15"/>
              </w:rPr>
              <w:t>44条交易≤11.72s</w:t>
            </w:r>
          </w:p>
        </w:tc>
        <w:tc>
          <w:tcPr>
            <w:tcW w:w="3264" w:type="dxa"/>
            <w:vAlign w:val="center"/>
          </w:tcPr>
          <w:p w14:paraId="0A7E8AD1">
            <w:pPr>
              <w:spacing w:after="0" w:line="240" w:lineRule="auto"/>
            </w:pPr>
            <w:r>
              <w:rPr>
                <w:rFonts w:ascii="微软雅黑" w:hAnsi="微软雅黑" w:eastAsia="微软雅黑"/>
                <w:b w:val="0"/>
                <w:sz w:val="15"/>
              </w:rPr>
              <w:t>链下准实时监控具有可行性</w:t>
            </w:r>
          </w:p>
        </w:tc>
      </w:tr>
    </w:tbl>
    <w:p w14:paraId="5B9102A9"/>
    <w:p w14:paraId="31EE6AA3">
      <w:pPr>
        <w:pStyle w:val="4"/>
      </w:pPr>
      <w:r>
        <w:rPr>
          <w:rFonts w:hint="eastAsia" w:eastAsia="宋体"/>
          <w:lang w:val="en-US" w:eastAsia="zh-CN"/>
        </w:rPr>
        <w:t>1</w:t>
      </w:r>
      <w:r>
        <w:t>.7 局限性与后续改进方向</w:t>
      </w:r>
    </w:p>
    <w:p w14:paraId="69C3DD25">
      <w:pPr>
        <w:jc w:val="center"/>
      </w:pPr>
      <w:r>
        <w:rPr>
          <w:rFonts w:ascii="微软雅黑" w:hAnsi="微软雅黑" w:eastAsia="微软雅黑"/>
          <w:b/>
          <w:sz w:val="18"/>
        </w:rPr>
        <w:t>表11 局限性与改进方向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3FC0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74AF4430">
            <w:pPr>
              <w:spacing w:after="0" w:line="240" w:lineRule="auto"/>
            </w:pPr>
            <w:r>
              <w:rPr>
                <w:rFonts w:ascii="微软雅黑" w:hAnsi="微软雅黑" w:eastAsia="微软雅黑"/>
                <w:b/>
                <w:sz w:val="15"/>
              </w:rPr>
              <w:t>局限性</w:t>
            </w:r>
          </w:p>
        </w:tc>
        <w:tc>
          <w:tcPr>
            <w:tcW w:w="3264" w:type="dxa"/>
            <w:shd w:val="clear" w:color="auto" w:fill="D9EAF7"/>
            <w:vAlign w:val="center"/>
          </w:tcPr>
          <w:p w14:paraId="6916CBCC">
            <w:pPr>
              <w:spacing w:after="0" w:line="240" w:lineRule="auto"/>
            </w:pPr>
            <w:r>
              <w:rPr>
                <w:rFonts w:ascii="微软雅黑" w:hAnsi="微软雅黑" w:eastAsia="微软雅黑"/>
                <w:b/>
                <w:sz w:val="15"/>
              </w:rPr>
              <w:t>具体表现</w:t>
            </w:r>
          </w:p>
        </w:tc>
        <w:tc>
          <w:tcPr>
            <w:tcW w:w="3264" w:type="dxa"/>
            <w:shd w:val="clear" w:color="auto" w:fill="D9EAF7"/>
            <w:vAlign w:val="center"/>
          </w:tcPr>
          <w:p w14:paraId="015702CE">
            <w:pPr>
              <w:spacing w:after="0" w:line="240" w:lineRule="auto"/>
            </w:pPr>
            <w:r>
              <w:rPr>
                <w:rFonts w:ascii="微软雅黑" w:hAnsi="微软雅黑" w:eastAsia="微软雅黑"/>
                <w:b/>
                <w:sz w:val="15"/>
              </w:rPr>
              <w:t>改进方向</w:t>
            </w:r>
          </w:p>
        </w:tc>
      </w:tr>
      <w:tr w14:paraId="3C22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4EE46DB">
            <w:pPr>
              <w:spacing w:after="0" w:line="240" w:lineRule="auto"/>
            </w:pPr>
            <w:r>
              <w:rPr>
                <w:rFonts w:ascii="微软雅黑" w:hAnsi="微软雅黑" w:eastAsia="微软雅黑"/>
                <w:b w:val="0"/>
                <w:sz w:val="15"/>
              </w:rPr>
              <w:t>数据不平衡</w:t>
            </w:r>
          </w:p>
        </w:tc>
        <w:tc>
          <w:tcPr>
            <w:tcW w:w="3264" w:type="dxa"/>
            <w:vAlign w:val="center"/>
          </w:tcPr>
          <w:p w14:paraId="1FB5823F">
            <w:pPr>
              <w:spacing w:after="0" w:line="240" w:lineRule="auto"/>
            </w:pPr>
            <w:r>
              <w:rPr>
                <w:rFonts w:ascii="微软雅黑" w:hAnsi="微软雅黑" w:eastAsia="微软雅黑"/>
                <w:b w:val="0"/>
                <w:sz w:val="15"/>
              </w:rPr>
              <w:t>不同类别项目和不同攻击类型的数据量不均衡，可能影响召回率</w:t>
            </w:r>
          </w:p>
        </w:tc>
        <w:tc>
          <w:tcPr>
            <w:tcW w:w="3264" w:type="dxa"/>
            <w:vAlign w:val="center"/>
          </w:tcPr>
          <w:p w14:paraId="561908DE">
            <w:pPr>
              <w:spacing w:after="0" w:line="240" w:lineRule="auto"/>
            </w:pPr>
            <w:r>
              <w:rPr>
                <w:rFonts w:ascii="微软雅黑" w:hAnsi="微软雅黑" w:eastAsia="微软雅黑"/>
                <w:b w:val="0"/>
                <w:sz w:val="15"/>
              </w:rPr>
              <w:t>扩充真实攻击样本，引入类别重加权和分层采样</w:t>
            </w:r>
          </w:p>
        </w:tc>
      </w:tr>
      <w:tr w14:paraId="4C26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F1EE770">
            <w:pPr>
              <w:spacing w:after="0" w:line="240" w:lineRule="auto"/>
            </w:pPr>
            <w:r>
              <w:rPr>
                <w:rFonts w:ascii="微软雅黑" w:hAnsi="微软雅黑" w:eastAsia="微软雅黑"/>
                <w:b w:val="0"/>
                <w:sz w:val="15"/>
              </w:rPr>
              <w:t>模拟交易重复度</w:t>
            </w:r>
          </w:p>
        </w:tc>
        <w:tc>
          <w:tcPr>
            <w:tcW w:w="3264" w:type="dxa"/>
            <w:vAlign w:val="center"/>
          </w:tcPr>
          <w:p w14:paraId="521F3D88">
            <w:pPr>
              <w:spacing w:after="0" w:line="240" w:lineRule="auto"/>
            </w:pPr>
            <w:r>
              <w:rPr>
                <w:rFonts w:ascii="微软雅黑" w:hAnsi="微软雅黑" w:eastAsia="微软雅黑"/>
                <w:b w:val="0"/>
                <w:sz w:val="15"/>
              </w:rPr>
              <w:t>模拟交易可缓解数据稀疏，但重复度较高，区分度有限</w:t>
            </w:r>
          </w:p>
        </w:tc>
        <w:tc>
          <w:tcPr>
            <w:tcW w:w="3264" w:type="dxa"/>
            <w:vAlign w:val="center"/>
          </w:tcPr>
          <w:p w14:paraId="7E3C60C4">
            <w:pPr>
              <w:spacing w:after="0" w:line="240" w:lineRule="auto"/>
            </w:pPr>
            <w:r>
              <w:rPr>
                <w:rFonts w:ascii="微软雅黑" w:hAnsi="微软雅黑" w:eastAsia="微软雅黑"/>
                <w:b w:val="0"/>
                <w:sz w:val="15"/>
              </w:rPr>
              <w:t>提升模拟参数多样性，引入真实攻击变体</w:t>
            </w:r>
          </w:p>
        </w:tc>
      </w:tr>
      <w:tr w14:paraId="4F9D2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746E447">
            <w:pPr>
              <w:spacing w:after="0" w:line="240" w:lineRule="auto"/>
            </w:pPr>
            <w:r>
              <w:rPr>
                <w:rFonts w:ascii="微软雅黑" w:hAnsi="微软雅黑" w:eastAsia="微软雅黑"/>
                <w:b w:val="0"/>
                <w:sz w:val="15"/>
              </w:rPr>
              <w:t>业务主干图依赖历史交易</w:t>
            </w:r>
          </w:p>
        </w:tc>
        <w:tc>
          <w:tcPr>
            <w:tcW w:w="3264" w:type="dxa"/>
            <w:vAlign w:val="center"/>
          </w:tcPr>
          <w:p w14:paraId="087F1920">
            <w:pPr>
              <w:spacing w:after="0" w:line="240" w:lineRule="auto"/>
            </w:pPr>
            <w:r>
              <w:rPr>
                <w:rFonts w:ascii="微软雅黑" w:hAnsi="微软雅黑" w:eastAsia="微软雅黑"/>
                <w:b w:val="0"/>
                <w:sz w:val="15"/>
              </w:rPr>
              <w:t>新项目或低活跃项目的主干图不稳定</w:t>
            </w:r>
          </w:p>
        </w:tc>
        <w:tc>
          <w:tcPr>
            <w:tcW w:w="3264" w:type="dxa"/>
            <w:vAlign w:val="center"/>
          </w:tcPr>
          <w:p w14:paraId="01D70D2E">
            <w:pPr>
              <w:spacing w:after="0" w:line="240" w:lineRule="auto"/>
            </w:pPr>
            <w:r>
              <w:rPr>
                <w:rFonts w:ascii="微软雅黑" w:hAnsi="微软雅黑" w:eastAsia="微软雅黑"/>
                <w:b w:val="0"/>
                <w:sz w:val="15"/>
              </w:rPr>
              <w:t>引入增量学习、迁移学习和相似项目先验</w:t>
            </w:r>
          </w:p>
        </w:tc>
      </w:tr>
      <w:tr w14:paraId="2C58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B2C2A5F">
            <w:pPr>
              <w:spacing w:after="0" w:line="240" w:lineRule="auto"/>
            </w:pPr>
            <w:r>
              <w:rPr>
                <w:rFonts w:ascii="微软雅黑" w:hAnsi="微软雅黑" w:eastAsia="微软雅黑"/>
                <w:b w:val="0"/>
                <w:sz w:val="15"/>
              </w:rPr>
              <w:t>自然语段信息密度</w:t>
            </w:r>
          </w:p>
        </w:tc>
        <w:tc>
          <w:tcPr>
            <w:tcW w:w="3264" w:type="dxa"/>
            <w:vAlign w:val="center"/>
          </w:tcPr>
          <w:p w14:paraId="18342C4B">
            <w:pPr>
              <w:spacing w:after="0" w:line="240" w:lineRule="auto"/>
            </w:pPr>
            <w:r>
              <w:rPr>
                <w:rFonts w:ascii="微软雅黑" w:hAnsi="微软雅黑" w:eastAsia="微软雅黑"/>
                <w:b w:val="0"/>
                <w:sz w:val="15"/>
              </w:rPr>
              <w:t>交易描述可能过长或过宽泛，导致关键信息稀释</w:t>
            </w:r>
          </w:p>
        </w:tc>
        <w:tc>
          <w:tcPr>
            <w:tcW w:w="3264" w:type="dxa"/>
            <w:vAlign w:val="center"/>
          </w:tcPr>
          <w:p w14:paraId="35E6D70E">
            <w:pPr>
              <w:spacing w:after="0" w:line="240" w:lineRule="auto"/>
            </w:pPr>
            <w:r>
              <w:rPr>
                <w:rFonts w:ascii="微软雅黑" w:hAnsi="微软雅黑" w:eastAsia="微软雅黑"/>
                <w:b w:val="0"/>
                <w:sz w:val="15"/>
              </w:rPr>
              <w:t>优化opcode到业务语义的细粒度模板</w:t>
            </w:r>
          </w:p>
        </w:tc>
      </w:tr>
      <w:tr w14:paraId="281F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970F435">
            <w:pPr>
              <w:spacing w:after="0" w:line="240" w:lineRule="auto"/>
            </w:pPr>
            <w:r>
              <w:rPr>
                <w:rFonts w:ascii="微软雅黑" w:hAnsi="微软雅黑" w:eastAsia="微软雅黑"/>
                <w:b w:val="0"/>
                <w:sz w:val="15"/>
              </w:rPr>
              <w:t>LLM推理成本</w:t>
            </w:r>
          </w:p>
        </w:tc>
        <w:tc>
          <w:tcPr>
            <w:tcW w:w="3264" w:type="dxa"/>
            <w:vAlign w:val="center"/>
          </w:tcPr>
          <w:p w14:paraId="10EC29C1">
            <w:pPr>
              <w:spacing w:after="0" w:line="240" w:lineRule="auto"/>
            </w:pPr>
            <w:r>
              <w:rPr>
                <w:rFonts w:ascii="微软雅黑" w:hAnsi="微软雅黑" w:eastAsia="微软雅黑"/>
                <w:b w:val="0"/>
                <w:sz w:val="15"/>
              </w:rPr>
              <w:t>大规模实时部署面临推理延迟压力</w:t>
            </w:r>
          </w:p>
        </w:tc>
        <w:tc>
          <w:tcPr>
            <w:tcW w:w="3264" w:type="dxa"/>
            <w:vAlign w:val="center"/>
          </w:tcPr>
          <w:p w14:paraId="0B80FABF">
            <w:pPr>
              <w:spacing w:after="0" w:line="240" w:lineRule="auto"/>
            </w:pPr>
            <w:r>
              <w:rPr>
                <w:rFonts w:ascii="微软雅黑" w:hAnsi="微软雅黑" w:eastAsia="微软雅黑"/>
                <w:b w:val="0"/>
                <w:sz w:val="15"/>
              </w:rPr>
              <w:t>采用轻量模型初筛+LLM深度检测的分层架构</w:t>
            </w:r>
          </w:p>
        </w:tc>
      </w:tr>
      <w:tr w14:paraId="0C5C6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6E30C39">
            <w:pPr>
              <w:spacing w:after="0" w:line="240" w:lineRule="auto"/>
            </w:pPr>
            <w:r>
              <w:rPr>
                <w:rFonts w:ascii="微软雅黑" w:hAnsi="微软雅黑" w:eastAsia="微软雅黑"/>
                <w:b w:val="0"/>
                <w:sz w:val="15"/>
              </w:rPr>
              <w:t>响应机制有限</w:t>
            </w:r>
          </w:p>
        </w:tc>
        <w:tc>
          <w:tcPr>
            <w:tcW w:w="3264" w:type="dxa"/>
            <w:vAlign w:val="center"/>
          </w:tcPr>
          <w:p w14:paraId="0B737B06">
            <w:pPr>
              <w:spacing w:after="0" w:line="240" w:lineRule="auto"/>
            </w:pPr>
            <w:r>
              <w:rPr>
                <w:rFonts w:ascii="微软雅黑" w:hAnsi="微软雅黑" w:eastAsia="微软雅黑"/>
                <w:b w:val="0"/>
                <w:sz w:val="15"/>
              </w:rPr>
              <w:t>当前更多体现告警展示，自动响应能力仍可扩展</w:t>
            </w:r>
          </w:p>
        </w:tc>
        <w:tc>
          <w:tcPr>
            <w:tcW w:w="3264" w:type="dxa"/>
            <w:vAlign w:val="center"/>
          </w:tcPr>
          <w:p w14:paraId="3917A916">
            <w:pPr>
              <w:spacing w:after="0" w:line="240" w:lineRule="auto"/>
            </w:pPr>
            <w:r>
              <w:rPr>
                <w:rFonts w:ascii="微软雅黑" w:hAnsi="微软雅黑" w:eastAsia="微软雅黑"/>
                <w:b w:val="0"/>
                <w:sz w:val="15"/>
              </w:rPr>
              <w:t>增加链下通知接口、项目侧安全策略联动</w:t>
            </w:r>
          </w:p>
        </w:tc>
      </w:tr>
    </w:tbl>
    <w:p w14:paraId="2DE51826"/>
    <w:p w14:paraId="6E18BDBC">
      <w:r>
        <w:rPr>
          <w:rFonts w:ascii="微软雅黑" w:hAnsi="微软雅黑" w:eastAsia="微软雅黑"/>
          <w:b w:val="0"/>
          <w:sz w:val="21"/>
        </w:rPr>
        <w:t>总体而言，AIB2PSec已经验证了“结构理解 + 语义理解 + 项目级预警”的可行性，但未来仍需要在数据质量、模型轻量化、跨链泛化和预警响应机制方面继续完善。</w:t>
      </w:r>
    </w:p>
    <w:p w14:paraId="60CF019D">
      <w:pPr>
        <w:pStyle w:val="4"/>
      </w:pPr>
      <w:r>
        <w:rPr>
          <w:rFonts w:hint="eastAsia" w:eastAsia="宋体"/>
          <w:lang w:val="en-US" w:eastAsia="zh-CN"/>
        </w:rPr>
        <w:t>1</w:t>
      </w:r>
      <w:bookmarkStart w:id="0" w:name="_GoBack"/>
      <w:bookmarkEnd w:id="0"/>
      <w:r>
        <w:t>.8 中文版小结</w:t>
      </w:r>
    </w:p>
    <w:p w14:paraId="35569F93">
      <w:r>
        <w:rPr>
          <w:rFonts w:ascii="微软雅黑" w:hAnsi="微软雅黑" w:eastAsia="微软雅黑"/>
          <w:b w:val="0"/>
          <w:sz w:val="21"/>
        </w:rPr>
        <w:t>本章将论文的业务相似度识别、恶意交易检测和原型系统结果融入第11周结果分析终稿。实验结果表明，GCN能够有效学习智能合约项目业务主干图，LoRA-LLM在自然语言描述、图卷积增强和自注意力增强共同作用下取得更好的恶意检测效果，原型系统则证明该方案具备链下准实时分析和项目级风险预警潜力。最终，AIB2PSec为智能合约项目自动化恶意检测提供了较完整、可解释且具备工程落地基础的技术路径。</w:t>
      </w:r>
    </w:p>
    <w:p w14:paraId="7D48CA19">
      <w:pPr>
        <w:rPr>
          <w:rFonts w:ascii="微软雅黑" w:hAnsi="微软雅黑" w:eastAsia="微软雅黑"/>
          <w:b w:val="0"/>
          <w:sz w:val="21"/>
        </w:rPr>
      </w:pP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Noto Sans SC">
    <w:panose1 w:val="020B0200000000000000"/>
    <w:charset w:val="86"/>
    <w:family w:val="auto"/>
    <w:pitch w:val="default"/>
    <w:sig w:usb0="20000083" w:usb1="2ADF3C10" w:usb2="00000016" w:usb3="00000000" w:csb0="60060107" w:csb1="00000000"/>
  </w:font>
  <w:font w:name="Courier New">
    <w:panose1 w:val="02070309020205020404"/>
    <w:charset w:val="00"/>
    <w:family w:val="auto"/>
    <w:pitch w:val="default"/>
    <w:sig w:usb0="E0002EFF" w:usb1="C0007843" w:usb2="00000009" w:usb3="00000000" w:csb0="400001FF" w:csb1="FFFF0000"/>
  </w:font>
  <w:font w:name="Malgun Gothic">
    <w:panose1 w:val="020B0503020000020004"/>
    <w:charset w:val="81"/>
    <w:family w:val="auto"/>
    <w:pitch w:val="default"/>
    <w:sig w:usb0="9000002F" w:usb1="29D77CFB" w:usb2="00000012" w:usb3="00000000" w:csb0="00080001" w:csb1="00000000"/>
  </w:font>
  <w:font w:name="华文琥珀">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汉仪书魂体简">
    <w:panose1 w:val="02010600000101010101"/>
    <w:charset w:val="86"/>
    <w:family w:val="auto"/>
    <w:pitch w:val="default"/>
    <w:sig w:usb0="00000001" w:usb1="080E0800" w:usb2="00000002" w:usb3="00000000" w:csb0="00040000" w:csb1="00000000"/>
  </w:font>
  <w:font w:name="汉仪黑方W">
    <w:panose1 w:val="00020600040101010101"/>
    <w:charset w:val="86"/>
    <w:family w:val="auto"/>
    <w:pitch w:val="default"/>
    <w:sig w:usb0="A000003F" w:usb1="0AC17CFA" w:usb2="00000016" w:usb3="00000000" w:csb0="0004009F" w:csb1="00000000"/>
  </w:font>
  <w:font w:name="华文楷体">
    <w:panose1 w:val="02010600040101010101"/>
    <w:charset w:val="86"/>
    <w:family w:val="auto"/>
    <w:pitch w:val="default"/>
    <w:sig w:usb0="00000287" w:usb1="080F0000" w:usb2="00000000" w:usb3="00000000" w:csb0="0004009F" w:csb1="DFD70000"/>
  </w:font>
  <w:font w:name="Noto Sans CJK KR">
    <w:altName w:val="Segoe Print"/>
    <w:panose1 w:val="00000000000000000000"/>
    <w:charset w:val="00"/>
    <w:family w:val="auto"/>
    <w:pitch w:val="default"/>
    <w:sig w:usb0="00000000" w:usb1="00000000" w:usb2="00000000" w:usb3="00000000" w:csb0="00000000" w:csb1="00000000"/>
  </w:font>
  <w:font w:name="华文新魏">
    <w:panose1 w:val="02010800040101010101"/>
    <w:charset w:val="86"/>
    <w:family w:val="auto"/>
    <w:pitch w:val="default"/>
    <w:sig w:usb0="00000001" w:usb1="080F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汉仪海纹体简">
    <w:panose1 w:val="01010104010101010101"/>
    <w:charset w:val="86"/>
    <w:family w:val="auto"/>
    <w:pitch w:val="default"/>
    <w:sig w:usb0="800002BF" w:usb1="004F6CFA" w:usb2="00000000" w:usb3="00000000" w:csb0="00040001" w:csb1="00000000"/>
  </w:font>
  <w:font w:name="华文宋体">
    <w:panose1 w:val="02010600040101010101"/>
    <w:charset w:val="86"/>
    <w:family w:val="auto"/>
    <w:pitch w:val="default"/>
    <w:sig w:usb0="00000287" w:usb1="080F0000" w:usb2="00000000" w:usb3="00000000" w:csb0="0004009F" w:csb1="DFD70000"/>
  </w:font>
  <w:font w:name="华文彩云">
    <w:panose1 w:val="02010800040101010101"/>
    <w:charset w:val="86"/>
    <w:family w:val="auto"/>
    <w:pitch w:val="default"/>
    <w:sig w:usb0="00000001" w:usb1="080F0000" w:usb2="00000000" w:usb3="00000000" w:csb0="00040000" w:csb1="00000000"/>
  </w:font>
  <w:font w:name="华文隶书">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6B5D7E"/>
    <w:rsid w:val="5B5704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1286</Words>
  <Characters>1495</Characters>
  <Lines>0</Lines>
  <Paragraphs>0</Paragraphs>
  <TotalTime>30</TotalTime>
  <ScaleCrop>false</ScaleCrop>
  <LinksUpToDate>false</LinksUpToDate>
  <CharactersWithSpaces>1538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陈曦</cp:lastModifiedBy>
  <dcterms:modified xsi:type="dcterms:W3CDTF">2026-05-21T14:55:44Z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eyJoZGlkIjoiNDZmMzZlMjEyZTM2ZjBmYmZiZjZiYTIwNzgxZWIyNjIiLCJ1c2VySWQiOiIxNzI3NjkwNDI5In0=</vt:lpwstr>
  </property>
  <property fmtid="{D5CDD505-2E9C-101B-9397-08002B2CF9AE}" pid="3" name="KSOProductBuildVer">
    <vt:lpwstr>2052-12.1.0.21541</vt:lpwstr>
  </property>
  <property fmtid="{D5CDD505-2E9C-101B-9397-08002B2CF9AE}" pid="4" name="ICV">
    <vt:lpwstr>20B54055E2D24A19AB11DC904A980486_12</vt:lpwstr>
  </property>
</Properties>
</file>