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jc w:val="center"/>
        <w:rPr>
          <w:rFonts w:ascii="맑은 고딕" w:eastAsia="맑은 고딕" w:hAnsi="맑은 고딕" w:cs="맑은 고딕" w:hint="eastAsia"/>
          <w:sz w:val="28"/>
          <w:szCs w:val="28"/>
        </w:rPr>
      </w:pPr>
      <w:r>
        <w:rPr>
          <w:rFonts w:ascii="맑은 고딕" w:eastAsia="맑은 고딕" w:hAnsi="맑은 고딕" w:cs="맑은 고딕" w:hint="eastAsia"/>
          <w:b/>
          <w:sz w:val="28"/>
          <w:szCs w:val="28"/>
        </w:rPr>
        <w:t>9주차 산출물</w:t>
      </w:r>
    </w:p>
    <w:p>
      <w:pPr>
        <w:adjustRightInd/>
        <w:autoSpaceDE/>
        <w:autoSpaceDN/>
        <w:topLinePunct w:val="off"/>
        <w:bidi w:val="off"/>
        <w:keepNext w:val="off"/>
        <w:keepLines w:val="off"/>
        <w:pageBreakBefore w:val="off"/>
        <w:widowControl/>
        <w:kinsoku/>
        <w:wordWrap/>
        <w:overflowPunct/>
        <w:snapToGrid/>
        <w:jc w:val="center"/>
        <w:spacing w:after="0" w:line="480" w:lineRule="auto"/>
        <w:textAlignment w:val="auto"/>
        <w:rPr>
          <w:sz w:val="28"/>
          <w:szCs w:val="28"/>
        </w:rPr>
      </w:pPr>
      <w:r>
        <w:rPr>
          <w:sz w:val="28"/>
          <w:szCs w:val="28"/>
        </w:rPr>
        <w:t>관련연구 초안 및 본 연구의 차별성 문단</w:t>
      </w:r>
    </w:p>
    <w:p>
      <w:pPr>
        <w:adjustRightInd/>
        <w:autoSpaceDE/>
        <w:autoSpaceDN/>
        <w:topLinePunct w:val="off"/>
        <w:bidi w:val="off"/>
        <w:keepNext w:val="off"/>
        <w:keepLines w:val="off"/>
        <w:pageBreakBefore w:val="off"/>
        <w:widowControl/>
        <w:kinsoku/>
        <w:wordWrap/>
        <w:overflowPunct/>
        <w:snapToGrid/>
        <w:jc w:val="center"/>
        <w:spacing w:after="0" w:line="360" w:lineRule="auto"/>
        <w:textAlignment w:val="auto"/>
        <w:rPr>
          <w:rFonts w:ascii="맑은 고딕" w:eastAsia="맑은 고딕" w:hAnsi="맑은 고딕" w:cs="맑은 고딕" w:hint="eastAsia"/>
          <w:sz w:val="21"/>
          <w:szCs w:val="21"/>
        </w:rPr>
      </w:pPr>
      <w:r>
        <w:rPr>
          <w:rFonts w:ascii="맑은 고딕" w:eastAsia="맑은 고딕" w:hAnsi="맑은 고딕" w:cs="맑은 고딕" w:hint="eastAsia"/>
          <w:sz w:val="21"/>
          <w:szCs w:val="21"/>
        </w:rPr>
        <w:t>논문 제목: 인공지능 기반 스마트 계약 프로젝트 자동화 악성 탐지 기술</w:t>
      </w:r>
      <w:r>
        <w:rPr>
          <w:rFonts w:ascii="맑은 고딕" w:eastAsia="맑은 고딕" w:hAnsi="맑은 고딕" w:cs="맑은 고딕" w:hint="eastAsia"/>
          <w:sz w:val="21"/>
          <w:szCs w:val="21"/>
        </w:rPr>
        <w:br/>
      </w:r>
      <w:r>
        <w:rPr>
          <w:rFonts w:ascii="맑은 고딕" w:eastAsia="맑은 고딕" w:hAnsi="맑은 고딕" w:cs="맑은 고딕" w:hint="eastAsia"/>
          <w:sz w:val="21"/>
          <w:szCs w:val="21"/>
        </w:rPr>
        <w:t>제출자: 천희(CHEN XI) / 50250336</w:t>
      </w:r>
    </w:p>
    <w:p>
      <w:pPr>
        <w:pStyle w:val="Heading1"/>
      </w:pPr>
      <w:r>
        <w:rPr>
          <w:lang w:eastAsia="zh-CN"/>
          <w:rFonts w:ascii="맑은 고딕" w:eastAsia="맑은 고딕" w:hAnsi="맑은 고딕"/>
          <w:b/>
          <w:sz w:val="28"/>
          <w:rtl w:val="off"/>
        </w:rPr>
        <w:t>1.</w:t>
      </w:r>
      <w:r>
        <w:rPr>
          <w:rFonts w:ascii="맑은 고딕" w:eastAsia="맑은 고딕" w:hAnsi="맑은 고딕"/>
          <w:b/>
          <w:sz w:val="28"/>
        </w:rPr>
        <w:t>제출물 개요</w:t>
      </w:r>
    </w:p>
    <w:p>
      <w:pPr>
        <w:ind w:firstLine="425"/>
        <w:spacing w:after="120" w:line="324" w:lineRule="auto"/>
      </w:pPr>
      <w:r>
        <w:rPr>
          <w:rFonts w:ascii="맑은 고딕" w:eastAsia="맑은 고딕" w:hAnsi="맑은 고딕"/>
          <w:b w:val="0"/>
          <w:sz w:val="21"/>
        </w:rPr>
        <w:t>본 문서는 9주차 실습 결과물로 작성한 본 논문의 관련연구 보완본이다. 선행연구를 연구군별로 분류하고, 연구동향과 공통 한계를 종합하였으며, 본 연구의 차별성과 공헌을 도식화하였다. 또한 관련연구의 흐름, AIB2PSec 개념 구조, 기존 한계와 대응 방향을 그림으로 추가하여 제출물의 가독성과 완성도를 높였다.</w:t>
      </w:r>
    </w:p>
    <w:p>
      <w:pPr>
        <w:pStyle w:val="Heading1"/>
      </w:pPr>
      <w:r>
        <w:rPr>
          <w:rFonts w:ascii="맑은 고딕" w:eastAsia="맑은 고딕" w:hAnsi="맑은 고딕"/>
          <w:b/>
          <w:sz w:val="28"/>
        </w:rPr>
        <w:t>2. 관련연구</w:t>
      </w:r>
    </w:p>
    <w:p>
      <w:pPr>
        <w:pStyle w:val="Heading2"/>
      </w:pPr>
      <w:r>
        <w:rPr>
          <w:rFonts w:ascii="맑은 고딕" w:eastAsia="맑은 고딕" w:hAnsi="맑은 고딕"/>
          <w:b/>
          <w:sz w:val="24"/>
        </w:rPr>
        <w:t>2.1 관련연구 도입</w:t>
      </w:r>
    </w:p>
    <w:p>
      <w:pPr>
        <w:ind w:firstLine="425"/>
        <w:spacing w:after="120" w:line="324" w:lineRule="auto"/>
      </w:pPr>
      <w:r>
        <w:rPr>
          <w:rFonts w:ascii="맑은 고딕" w:eastAsia="맑은 고딕" w:hAnsi="맑은 고딕"/>
          <w:b w:val="0"/>
          <w:sz w:val="21"/>
        </w:rPr>
        <w:t>스마트 계약은 탈중앙화 애플리케이션에서 자산 이동, 권한 제어, 상태 갱신, 외부 프로토콜 연동과 같은 핵심 업무 규칙을 자동으로 실행하는 기반 기술이다. 그러나 스마트 계약은 배포 이후 수정이 어렵고, 실행 과정이 공개 네트워크에서 이루어지기 때문에 코드 결함뿐 아니라 거래 실행 경로와 비즈니스 로직의 오류가 직접적인 보안 위협으로 이어질 수 있다.</w:t>
      </w:r>
    </w:p>
    <w:p>
      <w:pPr>
        <w:ind w:firstLine="425"/>
        <w:spacing w:after="120" w:line="324" w:lineRule="auto"/>
      </w:pPr>
      <w:r>
        <w:rPr>
          <w:rFonts w:ascii="맑은 고딕" w:eastAsia="맑은 고딕" w:hAnsi="맑은 고딕"/>
          <w:b w:val="0"/>
          <w:sz w:val="21"/>
        </w:rPr>
        <w:t>최근 스마트 계약 보안 연구는 코드 감사와 취약점 탐지를 넘어 거래 실행 과정에서 발생하는 호출 관계, 상태 변화, 외부 프로토콜 상호작용, 프로젝트 간 비즈니스 유사성을 함께 분석하는 방향으로 확장되고 있다. 실제 공격은 하나의 함수 오류에서만 발생하기보다 여러 계약, 외부 유동성 풀, 가격 오라클, 권한 모듈이 결합된 실행 경로에서 발생하는 경우가 많다.</w:t>
      </w:r>
    </w:p>
    <w:p>
      <w:pPr>
        <w:ind w:firstLine="425"/>
        <w:spacing w:after="120" w:line="324" w:lineRule="auto"/>
      </w:pPr>
      <w:r>
        <w:rPr>
          <w:rFonts w:ascii="맑은 고딕" w:eastAsia="맑은 고딕" w:hAnsi="맑은 고딕"/>
          <w:b w:val="0"/>
          <w:sz w:val="21"/>
        </w:rPr>
        <w:t>본 장에서는 선행연구를 취약점 탐지 및 정적 분석, 형식 검증과 퍼징, 거래 기반 동적 탐지, 그래프 신경망, 대형 언어 모델, 프로젝트 수준 위협 경고의 여섯 연구군으로 구분하여 정리한다.</w:t>
      </w:r>
    </w:p>
    <w:p>
      <w:pPr>
        <w:jc w:val="center"/>
      </w:pPr>
      <w:r>
        <w:drawing>
          <wp:inline distT="0" distB="0" distL="0" distR="0">
            <wp:extent cx="5852160" cy="1892052"/>
            <wp:effectExtent l="0" t="0" r="0" b="0"/>
            <wp:docPr id="1025" name="shape1025"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5852160" cy="1892052"/>
                    </a:xfrm>
                    <a:prstGeom prst="rect"/>
                  </pic:spPr>
                </pic:pic>
              </a:graphicData>
            </a:graphic>
          </wp:inline>
        </w:drawing>
      </w:r>
    </w:p>
    <w:p>
      <w:pPr>
        <w:jc w:val="center"/>
      </w:pPr>
      <w:r>
        <w:rPr>
          <w:rFonts w:ascii="맑은 고딕" w:eastAsia="맑은 고딕" w:hAnsi="맑은 고딕"/>
          <w:b/>
          <w:sz w:val="19"/>
        </w:rPr>
        <w:t>그림 2-1 스마트 계약 보안 관련연구의 발전 흐름</w:t>
      </w:r>
    </w:p>
    <w:p>
      <w:pPr>
        <w:jc w:val="center"/>
      </w:pPr>
      <w:r>
        <w:rPr>
          <w:rFonts w:ascii="맑은 고딕" w:eastAsia="맑은 고딕" w:hAnsi="맑은 고딕"/>
          <w:b/>
          <w:sz w:val="19"/>
        </w:rPr>
        <w:t>표 2-1 선행연구 연구군 분류</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Layout w:type="autofit"/>
        <w:tblCellMar>
          <w:top w:w="0" w:type="dxa"/>
          <w:left w:w="108" w:type="dxa"/>
          <w:bottom w:w="0" w:type="dxa"/>
          <w:right w:w="108" w:type="dxa"/>
        </w:tblCellMar>
      </w:tblPr>
      <w:tblGrid>
        <w:gridCol w:w="2351"/>
        <w:gridCol w:w="2351"/>
        <w:gridCol w:w="2351"/>
        <w:gridCol w:w="235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shd w:val="clear" w:color="auto" w:fill="D9EAF7"/>
            <w:vAlign w:val="center"/>
          </w:tcPr>
          <w:p>
            <w:pPr>
              <w:jc w:val="center"/>
              <w:spacing w:after="0" w:line="240" w:lineRule="auto"/>
            </w:pPr>
            <w:r>
              <w:rPr>
                <w:rFonts w:ascii="맑은 고딕" w:eastAsia="맑은 고딕" w:hAnsi="맑은 고딕"/>
                <w:b/>
                <w:sz w:val="18"/>
              </w:rPr>
              <w:t>연구군</w:t>
            </w:r>
          </w:p>
        </w:tc>
        <w:tc>
          <w:tcPr>
            <w:tcW w:w="2351" w:type="dxa"/>
            <w:shd w:val="clear" w:color="auto" w:fill="D9EAF7"/>
            <w:vAlign w:val="center"/>
          </w:tcPr>
          <w:p>
            <w:pPr>
              <w:jc w:val="center"/>
              <w:spacing w:after="0" w:line="240" w:lineRule="auto"/>
            </w:pPr>
            <w:r>
              <w:rPr>
                <w:rFonts w:ascii="맑은 고딕" w:eastAsia="맑은 고딕" w:hAnsi="맑은 고딕"/>
                <w:b/>
                <w:sz w:val="18"/>
              </w:rPr>
              <w:t>주요 분석 대상</w:t>
            </w:r>
          </w:p>
        </w:tc>
        <w:tc>
          <w:tcPr>
            <w:tcW w:w="2351" w:type="dxa"/>
            <w:shd w:val="clear" w:color="auto" w:fill="D9EAF7"/>
            <w:vAlign w:val="center"/>
          </w:tcPr>
          <w:p>
            <w:pPr>
              <w:jc w:val="center"/>
              <w:spacing w:after="0" w:line="240" w:lineRule="auto"/>
            </w:pPr>
            <w:r>
              <w:rPr>
                <w:rFonts w:ascii="맑은 고딕" w:eastAsia="맑은 고딕" w:hAnsi="맑은 고딕"/>
                <w:b/>
                <w:sz w:val="18"/>
              </w:rPr>
              <w:t>대표적 기법</w:t>
            </w:r>
          </w:p>
        </w:tc>
        <w:tc>
          <w:tcPr>
            <w:tcW w:w="2351" w:type="dxa"/>
            <w:shd w:val="clear" w:color="auto" w:fill="D9EAF7"/>
            <w:vAlign w:val="center"/>
          </w:tcPr>
          <w:p>
            <w:pPr>
              <w:jc w:val="center"/>
              <w:spacing w:after="0" w:line="240" w:lineRule="auto"/>
            </w:pPr>
            <w:r>
              <w:rPr>
                <w:rFonts w:ascii="맑은 고딕" w:eastAsia="맑은 고딕" w:hAnsi="맑은 고딕"/>
                <w:b/>
                <w:sz w:val="18"/>
              </w:rPr>
              <w:t>본 연구와의 관련성</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맑은 고딕" w:eastAsia="맑은 고딕" w:hAnsi="맑은 고딕"/>
                <w:b w:val="0"/>
                <w:sz w:val="17"/>
              </w:rPr>
              <w:t>취약점 탐지 및 정적 분석</w:t>
            </w:r>
          </w:p>
        </w:tc>
        <w:tc>
          <w:tcPr>
            <w:tcW w:w="2351" w:type="dxa"/>
            <w:vAlign w:val="center"/>
          </w:tcPr>
          <w:p>
            <w:pPr>
              <w:spacing w:after="0" w:line="240" w:lineRule="auto"/>
            </w:pPr>
            <w:r>
              <w:rPr>
                <w:rFonts w:ascii="맑은 고딕" w:eastAsia="맑은 고딕" w:hAnsi="맑은 고딕"/>
                <w:b w:val="0"/>
                <w:sz w:val="17"/>
              </w:rPr>
              <w:t>소스코드, 오퍼코드, 제어 흐름, 데이터 흐름</w:t>
            </w:r>
          </w:p>
        </w:tc>
        <w:tc>
          <w:tcPr>
            <w:tcW w:w="2351" w:type="dxa"/>
            <w:vAlign w:val="center"/>
          </w:tcPr>
          <w:p>
            <w:pPr>
              <w:spacing w:after="0" w:line="240" w:lineRule="auto"/>
            </w:pPr>
            <w:r>
              <w:rPr>
                <w:rFonts w:ascii="맑은 고딕" w:eastAsia="맑은 고딕" w:hAnsi="맑은 고딕"/>
                <w:b w:val="0"/>
                <w:sz w:val="17"/>
              </w:rPr>
              <w:t>취약 패턴 탐지, 코드 표현 학습, 정적 분석</w:t>
            </w:r>
          </w:p>
        </w:tc>
        <w:tc>
          <w:tcPr>
            <w:tcW w:w="2351" w:type="dxa"/>
            <w:vAlign w:val="center"/>
          </w:tcPr>
          <w:p>
            <w:pPr>
              <w:spacing w:after="0" w:line="240" w:lineRule="auto"/>
            </w:pPr>
            <w:r>
              <w:rPr>
                <w:rFonts w:ascii="맑은 고딕" w:eastAsia="맑은 고딕" w:hAnsi="맑은 고딕"/>
                <w:b w:val="0"/>
                <w:sz w:val="17"/>
              </w:rPr>
              <w:t>코드 결함 식별에는 효과적이나 프로젝트 실행 맥락과 비즈니스 로직 해석에는 한계가 있음</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맑은 고딕" w:eastAsia="맑은 고딕" w:hAnsi="맑은 고딕"/>
                <w:b w:val="0"/>
                <w:sz w:val="17"/>
              </w:rPr>
              <w:t>형식 검증 및 퍼징</w:t>
            </w:r>
          </w:p>
        </w:tc>
        <w:tc>
          <w:tcPr>
            <w:tcW w:w="2351" w:type="dxa"/>
            <w:vAlign w:val="center"/>
          </w:tcPr>
          <w:p>
            <w:pPr>
              <w:spacing w:after="0" w:line="240" w:lineRule="auto"/>
            </w:pPr>
            <w:r>
              <w:rPr>
                <w:rFonts w:ascii="맑은 고딕" w:eastAsia="맑은 고딕" w:hAnsi="맑은 고딕"/>
                <w:b w:val="0"/>
                <w:sz w:val="17"/>
              </w:rPr>
              <w:t>상태 전이, 함수 호출 조건, 예외 실행 경로</w:t>
            </w:r>
          </w:p>
        </w:tc>
        <w:tc>
          <w:tcPr>
            <w:tcW w:w="2351" w:type="dxa"/>
            <w:vAlign w:val="center"/>
          </w:tcPr>
          <w:p>
            <w:pPr>
              <w:spacing w:after="0" w:line="240" w:lineRule="auto"/>
            </w:pPr>
            <w:r>
              <w:rPr>
                <w:rFonts w:ascii="맑은 고딕" w:eastAsia="맑은 고딕" w:hAnsi="맑은 고딕"/>
                <w:b w:val="0"/>
                <w:sz w:val="17"/>
              </w:rPr>
              <w:t>기호 실행, 모델 검증, 회색상자 퍼징</w:t>
            </w:r>
          </w:p>
        </w:tc>
        <w:tc>
          <w:tcPr>
            <w:tcW w:w="2351" w:type="dxa"/>
            <w:vAlign w:val="center"/>
          </w:tcPr>
          <w:p>
            <w:pPr>
              <w:spacing w:after="0" w:line="240" w:lineRule="auto"/>
            </w:pPr>
            <w:r>
              <w:rPr>
                <w:rFonts w:ascii="맑은 고딕" w:eastAsia="맑은 고딕" w:hAnsi="맑은 고딕"/>
                <w:b w:val="0"/>
                <w:sz w:val="17"/>
              </w:rPr>
              <w:t>잠재 취약 경로 탐색에 유용하지만 실제 비즈니스 공격 여부 판단에는 추가 해석이 필요함</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맑은 고딕" w:eastAsia="맑은 고딕" w:hAnsi="맑은 고딕"/>
                <w:b w:val="0"/>
                <w:sz w:val="17"/>
              </w:rPr>
              <w:t>거래 기반 동적 탐지</w:t>
            </w:r>
          </w:p>
        </w:tc>
        <w:tc>
          <w:tcPr>
            <w:tcW w:w="2351" w:type="dxa"/>
            <w:vAlign w:val="center"/>
          </w:tcPr>
          <w:p>
            <w:pPr>
              <w:spacing w:after="0" w:line="240" w:lineRule="auto"/>
            </w:pPr>
            <w:r>
              <w:rPr>
                <w:rFonts w:ascii="맑은 고딕" w:eastAsia="맑은 고딕" w:hAnsi="맑은 고딕"/>
                <w:b w:val="0"/>
                <w:sz w:val="17"/>
              </w:rPr>
              <w:t>거래 해시, 내부 호출, 이벤트 로그, 상태 변화</w:t>
            </w:r>
          </w:p>
        </w:tc>
        <w:tc>
          <w:tcPr>
            <w:tcW w:w="2351" w:type="dxa"/>
            <w:vAlign w:val="center"/>
          </w:tcPr>
          <w:p>
            <w:pPr>
              <w:spacing w:after="0" w:line="240" w:lineRule="auto"/>
            </w:pPr>
            <w:r>
              <w:rPr>
                <w:rFonts w:ascii="맑은 고딕" w:eastAsia="맑은 고딕" w:hAnsi="맑은 고딕"/>
                <w:b w:val="0"/>
                <w:sz w:val="17"/>
              </w:rPr>
              <w:t>행위 특징 추출, 시계열 분석, 딥러닝 기반 이상 탐지</w:t>
            </w:r>
          </w:p>
        </w:tc>
        <w:tc>
          <w:tcPr>
            <w:tcW w:w="2351" w:type="dxa"/>
            <w:vAlign w:val="center"/>
          </w:tcPr>
          <w:p>
            <w:pPr>
              <w:spacing w:after="0" w:line="240" w:lineRule="auto"/>
            </w:pPr>
            <w:r>
              <w:rPr>
                <w:rFonts w:ascii="맑은 고딕" w:eastAsia="맑은 고딕" w:hAnsi="맑은 고딕"/>
                <w:b w:val="0"/>
                <w:sz w:val="17"/>
              </w:rPr>
              <w:t>실제 공격 실행 과정을 반영하지만 단일 거래·단일 프로젝트 중심 분석에 머무르는 경우가 많음</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맑은 고딕" w:eastAsia="맑은 고딕" w:hAnsi="맑은 고딕"/>
                <w:b w:val="0"/>
                <w:sz w:val="17"/>
              </w:rPr>
              <w:t>그래프 신경망 기반 분석</w:t>
            </w:r>
          </w:p>
        </w:tc>
        <w:tc>
          <w:tcPr>
            <w:tcW w:w="2351" w:type="dxa"/>
            <w:vAlign w:val="center"/>
          </w:tcPr>
          <w:p>
            <w:pPr>
              <w:spacing w:after="0" w:line="240" w:lineRule="auto"/>
            </w:pPr>
            <w:r>
              <w:rPr>
                <w:rFonts w:ascii="맑은 고딕" w:eastAsia="맑은 고딕" w:hAnsi="맑은 고딕"/>
                <w:b w:val="0"/>
                <w:sz w:val="17"/>
              </w:rPr>
              <w:t>함수 호출 그래프, 계약 간 호출 그래프, 데이터 흐름 그래프</w:t>
            </w:r>
          </w:p>
        </w:tc>
        <w:tc>
          <w:tcPr>
            <w:tcW w:w="2351" w:type="dxa"/>
            <w:vAlign w:val="center"/>
          </w:tcPr>
          <w:p>
            <w:pPr>
              <w:spacing w:after="0" w:line="240" w:lineRule="auto"/>
            </w:pPr>
            <w:r>
              <w:rPr>
                <w:rFonts w:ascii="맑은 고딕" w:eastAsia="맑은 고딕" w:hAnsi="맑은 고딕"/>
                <w:b w:val="0"/>
                <w:sz w:val="17"/>
              </w:rPr>
              <w:t>GCN, GAT, GIN, 그래프 임베딩</w:t>
            </w:r>
          </w:p>
        </w:tc>
        <w:tc>
          <w:tcPr>
            <w:tcW w:w="2351" w:type="dxa"/>
            <w:vAlign w:val="center"/>
          </w:tcPr>
          <w:p>
            <w:pPr>
              <w:spacing w:after="0" w:line="240" w:lineRule="auto"/>
            </w:pPr>
            <w:r>
              <w:rPr>
                <w:rFonts w:ascii="맑은 고딕" w:eastAsia="맑은 고딕" w:hAnsi="맑은 고딕"/>
                <w:b w:val="0"/>
                <w:sz w:val="17"/>
              </w:rPr>
              <w:t>관계성과 구조성을 반영할 수 있으나 프로젝트 비즈니스 유사도와 경고 체계 연계는 부족함</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맑은 고딕" w:eastAsia="맑은 고딕" w:hAnsi="맑은 고딕"/>
                <w:b w:val="0"/>
                <w:sz w:val="17"/>
              </w:rPr>
              <w:t>대형 언어 모델 기반 분석</w:t>
            </w:r>
          </w:p>
        </w:tc>
        <w:tc>
          <w:tcPr>
            <w:tcW w:w="2351" w:type="dxa"/>
            <w:vAlign w:val="center"/>
          </w:tcPr>
          <w:p>
            <w:pPr>
              <w:spacing w:after="0" w:line="240" w:lineRule="auto"/>
            </w:pPr>
            <w:r>
              <w:rPr>
                <w:rFonts w:ascii="맑은 고딕" w:eastAsia="맑은 고딕" w:hAnsi="맑은 고딕"/>
                <w:b w:val="0"/>
                <w:sz w:val="17"/>
              </w:rPr>
              <w:t>오퍼코드 시퀀스, 호출 경로 설명, 자연어 문단</w:t>
            </w:r>
          </w:p>
        </w:tc>
        <w:tc>
          <w:tcPr>
            <w:tcW w:w="2351" w:type="dxa"/>
            <w:vAlign w:val="center"/>
          </w:tcPr>
          <w:p>
            <w:pPr>
              <w:spacing w:after="0" w:line="240" w:lineRule="auto"/>
            </w:pPr>
            <w:r>
              <w:rPr>
                <w:rFonts w:ascii="맑은 고딕" w:eastAsia="맑은 고딕" w:hAnsi="맑은 고딕"/>
                <w:b w:val="0"/>
                <w:sz w:val="17"/>
              </w:rPr>
              <w:t>프롬프트 설계, 도메인 미세조정, LoRA</w:t>
            </w:r>
          </w:p>
        </w:tc>
        <w:tc>
          <w:tcPr>
            <w:tcW w:w="2351" w:type="dxa"/>
            <w:vAlign w:val="center"/>
          </w:tcPr>
          <w:p>
            <w:pPr>
              <w:spacing w:after="0" w:line="240" w:lineRule="auto"/>
            </w:pPr>
            <w:r>
              <w:rPr>
                <w:rFonts w:ascii="맑은 고딕" w:eastAsia="맑은 고딕" w:hAnsi="맑은 고딕"/>
                <w:b w:val="0"/>
                <w:sz w:val="17"/>
              </w:rPr>
              <w:t>복잡한 실행 의미 해석 가능성이 있으나 도메인 특화 전처리와 프로젝트 맥락 결합이 필요함</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맑은 고딕" w:eastAsia="맑은 고딕" w:hAnsi="맑은 고딕"/>
                <w:b w:val="0"/>
                <w:sz w:val="17"/>
              </w:rPr>
              <w:t>프로젝트 수준 위협 경고</w:t>
            </w:r>
          </w:p>
        </w:tc>
        <w:tc>
          <w:tcPr>
            <w:tcW w:w="2351" w:type="dxa"/>
            <w:vAlign w:val="center"/>
          </w:tcPr>
          <w:p>
            <w:pPr>
              <w:spacing w:after="0" w:line="240" w:lineRule="auto"/>
            </w:pPr>
            <w:r>
              <w:rPr>
                <w:rFonts w:ascii="맑은 고딕" w:eastAsia="맑은 고딕" w:hAnsi="맑은 고딕"/>
                <w:b w:val="0"/>
                <w:sz w:val="17"/>
              </w:rPr>
              <w:t>프로젝트 유형, 유사 프로젝트 집합, 위험 전파 가능성</w:t>
            </w:r>
          </w:p>
        </w:tc>
        <w:tc>
          <w:tcPr>
            <w:tcW w:w="2351" w:type="dxa"/>
            <w:vAlign w:val="center"/>
          </w:tcPr>
          <w:p>
            <w:pPr>
              <w:spacing w:after="0" w:line="240" w:lineRule="auto"/>
            </w:pPr>
            <w:r>
              <w:rPr>
                <w:rFonts w:ascii="맑은 고딕" w:eastAsia="맑은 고딕" w:hAnsi="맑은 고딕"/>
                <w:b w:val="0"/>
                <w:sz w:val="17"/>
              </w:rPr>
              <w:t>위협 인텔리전스, 유사도 기반 경고, 자동 알림</w:t>
            </w:r>
          </w:p>
        </w:tc>
        <w:tc>
          <w:tcPr>
            <w:tcW w:w="2351" w:type="dxa"/>
            <w:vAlign w:val="center"/>
          </w:tcPr>
          <w:p>
            <w:pPr>
              <w:spacing w:after="0" w:line="240" w:lineRule="auto"/>
            </w:pPr>
            <w:r>
              <w:rPr>
                <w:rFonts w:ascii="맑은 고딕" w:eastAsia="맑은 고딕" w:hAnsi="맑은 고딕"/>
                <w:b w:val="0"/>
                <w:sz w:val="17"/>
              </w:rPr>
              <w:t>실제 보안 대응에 중요하지만 기존 연구에서는 탐지 이후의 선제적 연동 경고가 제한적임</w:t>
            </w:r>
          </w:p>
        </w:tc>
      </w:tr>
    </w:tbl>
    <w:p/>
    <w:p>
      <w:pPr>
        <w:pStyle w:val="Heading2"/>
      </w:pPr>
      <w:r>
        <w:rPr>
          <w:rFonts w:ascii="맑은 고딕" w:eastAsia="맑은 고딕" w:hAnsi="맑은 고딕"/>
          <w:b/>
          <w:sz w:val="24"/>
        </w:rPr>
        <w:t>2.2 취약점 탐지 및 정적 분석 기반 연구</w:t>
      </w:r>
    </w:p>
    <w:p>
      <w:pPr>
        <w:ind w:firstLine="425"/>
        <w:spacing w:after="120" w:line="324" w:lineRule="auto"/>
      </w:pPr>
      <w:r>
        <w:rPr>
          <w:rFonts w:ascii="맑은 고딕" w:eastAsia="맑은 고딕" w:hAnsi="맑은 고딕"/>
          <w:b w:val="0"/>
          <w:sz w:val="21"/>
        </w:rPr>
        <w:t>취약점 탐지 및 정적 분석 기반 연구는 스마트 계약의 소스코드, 오퍼코드, 제어 흐름, 데이터 흐름 등을 분석하여 알려진 취약점 패턴을 식별하는 데 초점을 둔다. 이 연구군은 계약 코드에서 구조적 결함을 비교적 체계적으로 찾을 수 있으나, 소스코드 공개를 전제로 하거나 특정 취약점 패턴에 대한 사전 정의에 크게 의존하는 한계가 있다.</w:t>
      </w:r>
    </w:p>
    <w:p>
      <w:pPr>
        <w:ind w:firstLine="425"/>
        <w:spacing w:after="120" w:line="324" w:lineRule="auto"/>
      </w:pPr>
      <w:r>
        <w:rPr>
          <w:rFonts w:ascii="맑은 고딕" w:eastAsia="맑은 고딕" w:hAnsi="맑은 고딕"/>
          <w:b w:val="0"/>
          <w:sz w:val="21"/>
        </w:rPr>
        <w:t>비즈니스 로직 취약점은 단일 함수 오류가 아니라 호출 순서, 상태 변화, 외부 가격 참조, 유동성 이동 등이 결합되어 발생하는 경우가 많다. 따라서 정적 분석 중심 접근은 중요한 출발점이지만 프로젝트 수준의 악성 거래 탐지를 위해서는 실행 행위와 비즈니스 맥락을 결합한 추가 분석이 필요하다.</w:t>
      </w:r>
    </w:p>
    <w:p>
      <w:pPr>
        <w:pStyle w:val="Heading2"/>
      </w:pPr>
      <w:r>
        <w:rPr>
          <w:rFonts w:ascii="맑은 고딕" w:eastAsia="맑은 고딕" w:hAnsi="맑은 고딕"/>
          <w:b/>
          <w:sz w:val="24"/>
        </w:rPr>
        <w:t>2.3 형식 검증 및 퍼징 기반 연구</w:t>
      </w:r>
    </w:p>
    <w:p>
      <w:pPr>
        <w:ind w:firstLine="425"/>
        <w:spacing w:after="120" w:line="324" w:lineRule="auto"/>
      </w:pPr>
      <w:r>
        <w:rPr>
          <w:rFonts w:ascii="맑은 고딕" w:eastAsia="맑은 고딕" w:hAnsi="맑은 고딕"/>
          <w:b w:val="0"/>
          <w:sz w:val="21"/>
        </w:rPr>
        <w:t>형식 검증과 퍼징 기반 연구는 스마트 계약의 실행 가능 경로를 체계적으로 탐색하고 사전에 정의된 속성이나 불변 조건의 위반 여부를 확인하는 데 초점을 둔다. 형식 검증은 상태 전이와 접근 제어 조건을 논리적으로 모델링하고, 퍼징은 다양한 입력값과 호출 순서를 자동 생성하여 취약 경로를 탐색한다.</w:t>
      </w:r>
    </w:p>
    <w:p>
      <w:pPr>
        <w:ind w:firstLine="425"/>
        <w:spacing w:after="120" w:line="324" w:lineRule="auto"/>
      </w:pPr>
      <w:r>
        <w:rPr>
          <w:rFonts w:ascii="맑은 고딕" w:eastAsia="맑은 고딕" w:hAnsi="맑은 고딕"/>
          <w:b w:val="0"/>
          <w:sz w:val="21"/>
        </w:rPr>
        <w:t>그러나 실제 프로젝트 환경에서는 여러 계약과 외부 프로토콜이 연결되어 상태 공간이 급격히 증가한다. 또한 탐지된 이상 경로가 실제 비즈니스 관점에서 악성인지 여부를 해석하는 데에는 한계가 있으므로, 온체인 호출 경로와 자연어 의미 표현을 결합한 분석이 필요하다.</w:t>
      </w:r>
    </w:p>
    <w:p>
      <w:pPr>
        <w:pStyle w:val="Heading2"/>
      </w:pPr>
      <w:r>
        <w:rPr>
          <w:rFonts w:ascii="맑은 고딕" w:eastAsia="맑은 고딕" w:hAnsi="맑은 고딕"/>
          <w:b/>
          <w:sz w:val="24"/>
        </w:rPr>
        <w:t>2.4 거래 기반 이상 탐지 및 동적 분석 연구</w:t>
      </w:r>
    </w:p>
    <w:p>
      <w:pPr>
        <w:ind w:firstLine="425"/>
        <w:spacing w:after="120" w:line="324" w:lineRule="auto"/>
      </w:pPr>
      <w:r>
        <w:rPr>
          <w:rFonts w:ascii="맑은 고딕" w:eastAsia="맑은 고딕" w:hAnsi="맑은 고딕"/>
          <w:b w:val="0"/>
          <w:sz w:val="21"/>
        </w:rPr>
        <w:t>거래 기반 동적 분석 연구는 실제 블록체인에서 발생한 거래, 내부 호출, 이벤트 로그, 상태 변화 등을 분석하여 이상 행위 또는 악성 거래를 탐지하려는 방향이다. 거래 호출 경로와 상태 변화는 플래시론 공격, 가격 조작, 재진입 공격과 같이 실행 과정에서 드러나는 공격을 식별하는 데 중요한 단서가 된다.</w:t>
      </w:r>
    </w:p>
    <w:p>
      <w:pPr>
        <w:ind w:firstLine="425"/>
        <w:spacing w:after="120" w:line="324" w:lineRule="auto"/>
      </w:pPr>
      <w:r>
        <w:rPr>
          <w:rFonts w:ascii="맑은 고딕" w:eastAsia="맑은 고딕" w:hAnsi="맑은 고딕"/>
          <w:b w:val="0"/>
          <w:sz w:val="21"/>
        </w:rPr>
        <w:t>그러나 기존 연구의 상당수는 개별 거래 또는 개별 계약 단위의 특징 추출에 머무르는 경우가 많다. 프로젝트 내부의 다중 계약 관계와 외부 프로토콜 연동 흐름을 함께 고려하여 악성 거래를 판단하고, 탐지 결과를 유사 프로젝트에 대한 경고로 확장하는 체계는 아직 충분하지 않다.</w:t>
      </w:r>
    </w:p>
    <w:p>
      <w:pPr>
        <w:pStyle w:val="Heading2"/>
      </w:pPr>
      <w:r>
        <w:rPr>
          <w:rFonts w:ascii="맑은 고딕" w:eastAsia="맑은 고딕" w:hAnsi="맑은 고딕"/>
          <w:b/>
          <w:sz w:val="24"/>
        </w:rPr>
        <w:t>2.5 그래프 신경망 기반 스마트 계약 보안 연구</w:t>
      </w:r>
    </w:p>
    <w:p>
      <w:pPr>
        <w:ind w:firstLine="425"/>
        <w:spacing w:after="120" w:line="324" w:lineRule="auto"/>
      </w:pPr>
      <w:r>
        <w:rPr>
          <w:rFonts w:ascii="맑은 고딕" w:eastAsia="맑은 고딕" w:hAnsi="맑은 고딕"/>
          <w:b w:val="0"/>
          <w:sz w:val="21"/>
        </w:rPr>
        <w:t>그래프 신경망 기반 연구는 스마트 계약의 구조적 관계를 그래프로 표현하고, 노드와 간선의 특징을 학습하여 취약점 또는 이상 행위를 탐지하는 방향으로 발전해 왔다. 그래프 표현은 단순 시퀀스 표현보다 프로젝트 구조와 관계성을 설명하는 데 유리하다.</w:t>
      </w:r>
    </w:p>
    <w:p>
      <w:pPr>
        <w:ind w:firstLine="425"/>
        <w:spacing w:after="120" w:line="324" w:lineRule="auto"/>
      </w:pPr>
      <w:r>
        <w:rPr>
          <w:rFonts w:ascii="맑은 고딕" w:eastAsia="맑은 고딕" w:hAnsi="맑은 고딕"/>
          <w:b w:val="0"/>
          <w:sz w:val="21"/>
        </w:rPr>
        <w:t>본 연구는 프로젝트 반복 거래에서 안정적으로 나타나는 호출 관계가 해당 프로젝트의 비즈니스 로직을 반영한다고 보고, 이를 비즈니스 로직 주간선 그래프로 추출한다. 이를 통해 프로젝트 유형과 유사성을 식별하고, 악성 거래 탐지와 위협 경고의 기반 정보로 활용한다.</w:t>
      </w:r>
    </w:p>
    <w:p>
      <w:pPr>
        <w:pStyle w:val="Heading2"/>
      </w:pPr>
      <w:r>
        <w:rPr>
          <w:rFonts w:ascii="맑은 고딕" w:eastAsia="맑은 고딕" w:hAnsi="맑은 고딕"/>
          <w:b/>
          <w:sz w:val="24"/>
        </w:rPr>
        <w:t>2.6 대형 언어 모델 및 오퍼코드 의미 분석 연구</w:t>
      </w:r>
    </w:p>
    <w:p>
      <w:pPr>
        <w:ind w:firstLine="425"/>
        <w:spacing w:after="120" w:line="324" w:lineRule="auto"/>
      </w:pPr>
      <w:r>
        <w:rPr>
          <w:rFonts w:ascii="맑은 고딕" w:eastAsia="맑은 고딕" w:hAnsi="맑은 고딕"/>
          <w:b w:val="0"/>
          <w:sz w:val="21"/>
        </w:rPr>
        <w:t>대형 언어 모델은 긴 문맥 이해, 의미 추론, 패턴 일반화 능력을 바탕으로 복잡한 거래 실행 과정을 분석할 가능성을 제공한다. 특히 거래 바이트코드와 호출 경로를 자연어 설명으로 변환하면 모델이 함수 관계, 호출 순서, 상태 변화의 의미를 함께 학습할 수 있다.</w:t>
      </w:r>
    </w:p>
    <w:p>
      <w:pPr>
        <w:ind w:firstLine="425"/>
        <w:spacing w:after="120" w:line="324" w:lineRule="auto"/>
      </w:pPr>
      <w:r>
        <w:rPr>
          <w:rFonts w:ascii="맑은 고딕" w:eastAsia="맑은 고딕" w:hAnsi="맑은 고딕"/>
          <w:b w:val="0"/>
          <w:sz w:val="21"/>
        </w:rPr>
        <w:t>그러나 원시 바이트코드나 오퍼코드 시퀀스를 그대로 입력하면 실제 비즈니스 의미를 충분히 파악하기 어렵다. 본 연구는 호출 트리 복원, 자연어 문단 생성, 핵심 객체 선별, 자기어텐션 기반 중요 함수 시퀀스 강화 과정을 통해 거래 실행 과정을 모델이 이해하기 쉬운 형태로 변환한다.</w:t>
      </w:r>
    </w:p>
    <w:p>
      <w:pPr>
        <w:pStyle w:val="Heading2"/>
      </w:pPr>
      <w:r>
        <w:rPr>
          <w:rFonts w:ascii="맑은 고딕" w:eastAsia="맑은 고딕" w:hAnsi="맑은 고딕"/>
          <w:b/>
          <w:sz w:val="24"/>
        </w:rPr>
        <w:t>2.7 프로젝트 수준 보안 관리 및 위협 경고 연구</w:t>
      </w:r>
    </w:p>
    <w:p>
      <w:pPr>
        <w:ind w:firstLine="425"/>
        <w:spacing w:after="120" w:line="324" w:lineRule="auto"/>
      </w:pPr>
      <w:r>
        <w:rPr>
          <w:rFonts w:ascii="맑은 고딕" w:eastAsia="맑은 고딕" w:hAnsi="맑은 고딕"/>
          <w:b w:val="0"/>
          <w:sz w:val="21"/>
        </w:rPr>
        <w:t>스마트 계약 프로젝트는 동일한 오픈소스 코드, 유사한 토큰 경제 구조, 유사한 유동성 관리 방식, 유사한 가격 계산 로직을 공유하는 경우가 많다. 따라서 특정 프로젝트에서 발생한 공격은 유사한 비즈니스 로직을 가진 다른 프로젝트에도 영향을 미칠 수 있다.</w:t>
      </w:r>
    </w:p>
    <w:p>
      <w:pPr>
        <w:ind w:firstLine="425"/>
        <w:spacing w:after="120" w:line="324" w:lineRule="auto"/>
      </w:pPr>
      <w:r>
        <w:rPr>
          <w:rFonts w:ascii="맑은 고딕" w:eastAsia="맑은 고딕" w:hAnsi="맑은 고딕"/>
          <w:b w:val="0"/>
          <w:sz w:val="21"/>
        </w:rPr>
        <w:t>본 연구는 비즈니스 유사도 식별 결과와 악성 거래 탐지 결과를 통합하여, 특정 프로젝트에서 악성 거래가 탐지되면 유사한 프로젝트 집합에도 위험 정보를 전달할 수 있는 구조를 제안한다.</w:t>
      </w:r>
    </w:p>
    <w:p>
      <w:pPr>
        <w:jc w:val="center"/>
      </w:pPr>
      <w:r>
        <w:drawing>
          <wp:inline distT="0" distB="0" distL="0" distR="0">
            <wp:extent cx="5852160" cy="2662072"/>
            <wp:effectExtent l="0" t="0" r="0" b="0"/>
            <wp:docPr id="1026" name="shape1026"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5852160" cy="2662072"/>
                    </a:xfrm>
                    <a:prstGeom prst="rect"/>
                  </pic:spPr>
                </pic:pic>
              </a:graphicData>
            </a:graphic>
          </wp:inline>
        </w:drawing>
      </w:r>
    </w:p>
    <w:p>
      <w:pPr>
        <w:jc w:val="center"/>
      </w:pPr>
      <w:r>
        <w:rPr>
          <w:rFonts w:ascii="맑은 고딕" w:eastAsia="맑은 고딕" w:hAnsi="맑은 고딕"/>
          <w:b/>
          <w:sz w:val="19"/>
        </w:rPr>
        <w:t>그림 2-2 AIB2PSec 개념 프레임워크</w:t>
      </w:r>
    </w:p>
    <w:p>
      <w:pPr>
        <w:pStyle w:val="Heading2"/>
      </w:pPr>
      <w:r>
        <w:rPr>
          <w:rFonts w:ascii="맑은 고딕" w:eastAsia="맑은 고딕" w:hAnsi="맑은 고딕"/>
          <w:b/>
          <w:sz w:val="24"/>
        </w:rPr>
        <w:t>2.8 연구동향 종합 및 기존 연구의 공통 한계</w:t>
      </w:r>
    </w:p>
    <w:p>
      <w:pPr>
        <w:ind w:firstLine="425"/>
        <w:spacing w:after="120" w:line="324" w:lineRule="auto"/>
      </w:pPr>
      <w:r>
        <w:rPr>
          <w:rFonts w:ascii="맑은 고딕" w:eastAsia="맑은 고딕" w:hAnsi="맑은 고딕"/>
          <w:b w:val="0"/>
          <w:sz w:val="21"/>
        </w:rPr>
        <w:t>이상의 선행연구를 종합하면, 스마트 계약 보안 연구는 코드 중심 취약점 탐지에서 거래 실행 행위 분석으로, 다시 그래프 구조 학습과 대형 언어 모델 기반 의미 분석으로 확장되고 있다. 그러나 기존 연구는 단일 계약 또는 개별 거래 중심 분석, 소스코드 의존성, 비즈니스 로직 공격 해석 부족, 모델 일반화 한계, 탐지 이후 대응 부족이라는 공통 한계를 가진다.</w:t>
      </w:r>
    </w:p>
    <w:p>
      <w:pPr>
        <w:jc w:val="center"/>
      </w:pPr>
      <w:r>
        <w:rPr>
          <w:rFonts w:ascii="맑은 고딕" w:eastAsia="맑은 고딕" w:hAnsi="맑은 고딕"/>
          <w:b/>
          <w:sz w:val="19"/>
        </w:rPr>
        <w:t>표 2-2 기존 연구의 공통 한계와 본 연구의 대응 방향</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Layout w:type="autofit"/>
        <w:tblCellMar>
          <w:top w:w="0" w:type="dxa"/>
          <w:left w:w="108" w:type="dxa"/>
          <w:bottom w:w="0" w:type="dxa"/>
          <w:right w:w="108" w:type="dxa"/>
        </w:tblCellMar>
      </w:tblPr>
      <w:tblGrid>
        <w:gridCol w:w="3135"/>
        <w:gridCol w:w="3135"/>
        <w:gridCol w:w="3135"/>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shd w:val="clear" w:color="auto" w:fill="D9EAF7"/>
            <w:vAlign w:val="center"/>
          </w:tcPr>
          <w:p>
            <w:pPr>
              <w:jc w:val="center"/>
              <w:spacing w:after="0" w:line="240" w:lineRule="auto"/>
            </w:pPr>
            <w:r>
              <w:rPr>
                <w:rFonts w:ascii="맑은 고딕" w:eastAsia="맑은 고딕" w:hAnsi="맑은 고딕"/>
                <w:b/>
                <w:sz w:val="18"/>
              </w:rPr>
              <w:t>공통 한계</w:t>
            </w:r>
          </w:p>
        </w:tc>
        <w:tc>
          <w:tcPr>
            <w:tcW w:w="3135" w:type="dxa"/>
            <w:shd w:val="clear" w:color="auto" w:fill="D9EAF7"/>
            <w:vAlign w:val="center"/>
          </w:tcPr>
          <w:p>
            <w:pPr>
              <w:jc w:val="center"/>
              <w:spacing w:after="0" w:line="240" w:lineRule="auto"/>
            </w:pPr>
            <w:r>
              <w:rPr>
                <w:rFonts w:ascii="맑은 고딕" w:eastAsia="맑은 고딕" w:hAnsi="맑은 고딕"/>
                <w:b/>
                <w:sz w:val="18"/>
              </w:rPr>
              <w:t>구체적 내용</w:t>
            </w:r>
          </w:p>
        </w:tc>
        <w:tc>
          <w:tcPr>
            <w:tcW w:w="3135" w:type="dxa"/>
            <w:shd w:val="clear" w:color="auto" w:fill="D9EAF7"/>
            <w:vAlign w:val="center"/>
          </w:tcPr>
          <w:p>
            <w:pPr>
              <w:jc w:val="center"/>
              <w:spacing w:after="0" w:line="240" w:lineRule="auto"/>
            </w:pPr>
            <w:r>
              <w:rPr>
                <w:rFonts w:ascii="맑은 고딕" w:eastAsia="맑은 고딕" w:hAnsi="맑은 고딕"/>
                <w:b/>
                <w:sz w:val="18"/>
              </w:rPr>
              <w:t>본 연구의 대응 방향</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맑은 고딕" w:eastAsia="맑은 고딕" w:hAnsi="맑은 고딕"/>
                <w:b w:val="0"/>
                <w:sz w:val="17"/>
              </w:rPr>
              <w:t>분석 단위의 제한</w:t>
            </w:r>
          </w:p>
        </w:tc>
        <w:tc>
          <w:tcPr>
            <w:tcW w:w="3135" w:type="dxa"/>
            <w:vAlign w:val="center"/>
          </w:tcPr>
          <w:p>
            <w:pPr>
              <w:spacing w:after="0" w:line="240" w:lineRule="auto"/>
            </w:pPr>
            <w:r>
              <w:rPr>
                <w:rFonts w:ascii="맑은 고딕" w:eastAsia="맑은 고딕" w:hAnsi="맑은 고딕"/>
                <w:b w:val="0"/>
                <w:sz w:val="17"/>
              </w:rPr>
              <w:t>단일 계약 또는 개별 거래 중심 분석이 많아 프로젝트 내부의 다중 계약 협력 구조를 충분히 반영하지 못함</w:t>
            </w:r>
          </w:p>
        </w:tc>
        <w:tc>
          <w:tcPr>
            <w:tcW w:w="3135" w:type="dxa"/>
            <w:vAlign w:val="center"/>
          </w:tcPr>
          <w:p>
            <w:pPr>
              <w:spacing w:after="0" w:line="240" w:lineRule="auto"/>
            </w:pPr>
            <w:r>
              <w:rPr>
                <w:rFonts w:ascii="맑은 고딕" w:eastAsia="맑은 고딕" w:hAnsi="맑은 고딕"/>
                <w:b w:val="0"/>
                <w:sz w:val="17"/>
              </w:rPr>
              <w:t>프로젝트 과거 거래와 내부 호출 관계를 기반으로 비즈니스 로직 주간선 그래프를 구성</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맑은 고딕" w:eastAsia="맑은 고딕" w:hAnsi="맑은 고딕"/>
                <w:b w:val="0"/>
                <w:sz w:val="17"/>
              </w:rPr>
              <w:t>소스코드 의존성</w:t>
            </w:r>
          </w:p>
        </w:tc>
        <w:tc>
          <w:tcPr>
            <w:tcW w:w="3135" w:type="dxa"/>
            <w:vAlign w:val="center"/>
          </w:tcPr>
          <w:p>
            <w:pPr>
              <w:spacing w:after="0" w:line="240" w:lineRule="auto"/>
            </w:pPr>
            <w:r>
              <w:rPr>
                <w:rFonts w:ascii="맑은 고딕" w:eastAsia="맑은 고딕" w:hAnsi="맑은 고딕"/>
                <w:b w:val="0"/>
                <w:sz w:val="17"/>
              </w:rPr>
              <w:t>소스코드 미공개 프로젝트, 프록시 계약, 외부 라이브러리 연결 구조에서는 정적 분석의 적용성이 낮아질 수 있음</w:t>
            </w:r>
          </w:p>
        </w:tc>
        <w:tc>
          <w:tcPr>
            <w:tcW w:w="3135" w:type="dxa"/>
            <w:vAlign w:val="center"/>
          </w:tcPr>
          <w:p>
            <w:pPr>
              <w:spacing w:after="0" w:line="240" w:lineRule="auto"/>
            </w:pPr>
            <w:r>
              <w:rPr>
                <w:rFonts w:ascii="맑은 고딕" w:eastAsia="맑은 고딕" w:hAnsi="맑은 고딕"/>
                <w:b w:val="0"/>
                <w:sz w:val="17"/>
              </w:rPr>
              <w:t>온체인 거래, 내부 호출, 바이트코드 실행 정보를 함께 활용</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맑은 고딕" w:eastAsia="맑은 고딕" w:hAnsi="맑은 고딕"/>
                <w:b w:val="0"/>
                <w:sz w:val="17"/>
              </w:rPr>
              <w:t>비즈니스 로직 공격 해석 부족</w:t>
            </w:r>
          </w:p>
        </w:tc>
        <w:tc>
          <w:tcPr>
            <w:tcW w:w="3135" w:type="dxa"/>
            <w:vAlign w:val="center"/>
          </w:tcPr>
          <w:p>
            <w:pPr>
              <w:spacing w:after="0" w:line="240" w:lineRule="auto"/>
            </w:pPr>
            <w:r>
              <w:rPr>
                <w:rFonts w:ascii="맑은 고딕" w:eastAsia="맑은 고딕" w:hAnsi="맑은 고딕"/>
                <w:b w:val="0"/>
                <w:sz w:val="17"/>
              </w:rPr>
              <w:t>가격 조작, 플래시론, 크로스 계약 호출 기반 공격은 코드 결함만으로 설명되기 어려움</w:t>
            </w:r>
          </w:p>
        </w:tc>
        <w:tc>
          <w:tcPr>
            <w:tcW w:w="3135" w:type="dxa"/>
            <w:vAlign w:val="center"/>
          </w:tcPr>
          <w:p>
            <w:pPr>
              <w:spacing w:after="0" w:line="240" w:lineRule="auto"/>
            </w:pPr>
            <w:r>
              <w:rPr>
                <w:rFonts w:ascii="맑은 고딕" w:eastAsia="맑은 고딕" w:hAnsi="맑은 고딕"/>
                <w:b w:val="0"/>
                <w:sz w:val="17"/>
              </w:rPr>
              <w:t>호출 트리 복원과 자연어 문단 생성을 통해 거래 실행 의미를 재구성</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맑은 고딕" w:eastAsia="맑은 고딕" w:hAnsi="맑은 고딕"/>
                <w:b w:val="0"/>
                <w:sz w:val="17"/>
              </w:rPr>
              <w:t>모델 일반화 한계</w:t>
            </w:r>
          </w:p>
        </w:tc>
        <w:tc>
          <w:tcPr>
            <w:tcW w:w="3135" w:type="dxa"/>
            <w:vAlign w:val="center"/>
          </w:tcPr>
          <w:p>
            <w:pPr>
              <w:spacing w:after="0" w:line="240" w:lineRule="auto"/>
            </w:pPr>
            <w:r>
              <w:rPr>
                <w:rFonts w:ascii="맑은 고딕" w:eastAsia="맑은 고딕" w:hAnsi="맑은 고딕"/>
                <w:b w:val="0"/>
                <w:sz w:val="17"/>
              </w:rPr>
              <w:t>특정 취약점 유형 또는 특정 프로젝트에 최적화된 모델은 유사 프로젝트로 확장되기 어려움</w:t>
            </w:r>
          </w:p>
        </w:tc>
        <w:tc>
          <w:tcPr>
            <w:tcW w:w="3135" w:type="dxa"/>
            <w:vAlign w:val="center"/>
          </w:tcPr>
          <w:p>
            <w:pPr>
              <w:spacing w:after="0" w:line="240" w:lineRule="auto"/>
            </w:pPr>
            <w:r>
              <w:rPr>
                <w:rFonts w:ascii="맑은 고딕" w:eastAsia="맑은 고딕" w:hAnsi="맑은 고딕"/>
                <w:b w:val="0"/>
                <w:sz w:val="17"/>
              </w:rPr>
              <w:t>프로젝트 유사도 식별 결과를 악성 거래 탐지와 연동</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맑은 고딕" w:eastAsia="맑은 고딕" w:hAnsi="맑은 고딕"/>
                <w:b w:val="0"/>
                <w:sz w:val="17"/>
              </w:rPr>
              <w:t>탐지 이후 대응 부족</w:t>
            </w:r>
          </w:p>
        </w:tc>
        <w:tc>
          <w:tcPr>
            <w:tcW w:w="3135" w:type="dxa"/>
            <w:vAlign w:val="center"/>
          </w:tcPr>
          <w:p>
            <w:pPr>
              <w:spacing w:after="0" w:line="240" w:lineRule="auto"/>
            </w:pPr>
            <w:r>
              <w:rPr>
                <w:rFonts w:ascii="맑은 고딕" w:eastAsia="맑은 고딕" w:hAnsi="맑은 고딕"/>
                <w:b w:val="0"/>
                <w:sz w:val="17"/>
              </w:rPr>
              <w:t>악성 거래 탐지 이후 유사 프로젝트에 위험을 전달하는 선제적 경고 체계가 부족함</w:t>
            </w:r>
          </w:p>
        </w:tc>
        <w:tc>
          <w:tcPr>
            <w:tcW w:w="3135" w:type="dxa"/>
            <w:vAlign w:val="center"/>
          </w:tcPr>
          <w:p>
            <w:pPr>
              <w:spacing w:after="0" w:line="240" w:lineRule="auto"/>
            </w:pPr>
            <w:r>
              <w:rPr>
                <w:rFonts w:ascii="맑은 고딕" w:eastAsia="맑은 고딕" w:hAnsi="맑은 고딕"/>
                <w:b w:val="0"/>
                <w:sz w:val="17"/>
              </w:rPr>
              <w:t>유사 비즈니스 프로젝트 집합을 대상으로 위험 정보를 연동 제공</w:t>
            </w:r>
          </w:p>
        </w:tc>
      </w:tr>
    </w:tbl>
    <w:p/>
    <w:p>
      <w:pPr>
        <w:jc w:val="center"/>
      </w:pPr>
      <w:r>
        <w:drawing>
          <wp:inline distT="0" distB="0" distL="0" distR="0">
            <wp:extent cx="5852160" cy="2277062"/>
            <wp:effectExtent l="0" t="0" r="0" b="0"/>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3">
                      <a:extLst>
                        <a:ext uri="{28A0092B-C50C-407E-A947-70E740481C1C}">
                          <a14:useLocalDpi xmlns:a14="http://schemas.microsoft.com/office/drawing/2010/main" val="0"/>
                        </a:ext>
                      </a:extLst>
                    </a:blip>
                    <a:srcRect/>
                    <a:stretch>
                      <a:fillRect/>
                    </a:stretch>
                  </pic:blipFill>
                  <pic:spPr>
                    <a:xfrm>
                      <a:off x="0" y="0"/>
                      <a:ext cx="5852160" cy="2277062"/>
                    </a:xfrm>
                    <a:prstGeom prst="rect"/>
                  </pic:spPr>
                </pic:pic>
              </a:graphicData>
            </a:graphic>
          </wp:inline>
        </w:drawing>
      </w:r>
    </w:p>
    <w:p>
      <w:pPr>
        <w:jc w:val="center"/>
      </w:pPr>
      <w:r>
        <w:rPr>
          <w:rFonts w:ascii="맑은 고딕" w:eastAsia="맑은 고딕" w:hAnsi="맑은 고딕"/>
          <w:b/>
          <w:sz w:val="19"/>
        </w:rPr>
        <w:t>그림 2-3 기존 연구 한계와 본 연구 대응 방향의 관계</w:t>
      </w:r>
    </w:p>
    <w:p>
      <w:pPr>
        <w:jc w:val="center"/>
      </w:pPr>
      <w:r>
        <w:drawing>
          <wp:inline distT="0" distB="0" distL="0" distR="0">
            <wp:extent cx="5303520" cy="2604736"/>
            <wp:effectExtent l="0" t="0" r="0" b="0"/>
            <wp:docPr id="1028" name="shape1028"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4">
                      <a:extLst>
                        <a:ext uri="{28A0092B-C50C-407E-A947-70E740481C1C}">
                          <a14:useLocalDpi xmlns:a14="http://schemas.microsoft.com/office/drawing/2010/main" val="0"/>
                        </a:ext>
                      </a:extLst>
                    </a:blip>
                    <a:srcRect/>
                    <a:stretch>
                      <a:fillRect/>
                    </a:stretch>
                  </pic:blipFill>
                  <pic:spPr>
                    <a:xfrm>
                      <a:off x="0" y="0"/>
                      <a:ext cx="5303520" cy="2604736"/>
                    </a:xfrm>
                    <a:prstGeom prst="rect"/>
                  </pic:spPr>
                </pic:pic>
              </a:graphicData>
            </a:graphic>
          </wp:inline>
        </w:drawing>
      </w:r>
    </w:p>
    <w:p>
      <w:pPr>
        <w:jc w:val="center"/>
      </w:pPr>
      <w:r>
        <w:rPr>
          <w:rFonts w:ascii="맑은 고딕" w:eastAsia="맑은 고딕" w:hAnsi="맑은 고딕"/>
          <w:b/>
          <w:sz w:val="19"/>
        </w:rPr>
        <w:t>그림 2-4 연구군별 본 연구 관련성 및 연구 성숙도 비교</w:t>
      </w:r>
    </w:p>
    <w:p>
      <w:pPr>
        <w:pStyle w:val="Heading2"/>
      </w:pPr>
      <w:r>
        <w:rPr>
          <w:rFonts w:ascii="맑은 고딕" w:eastAsia="맑은 고딕" w:hAnsi="맑은 고딕"/>
          <w:b/>
          <w:sz w:val="24"/>
        </w:rPr>
        <w:t>2.9 본 연구의 차별성과 공헌</w:t>
      </w:r>
    </w:p>
    <w:p>
      <w:pPr>
        <w:ind w:firstLine="425"/>
        <w:spacing w:after="120" w:line="324" w:lineRule="auto"/>
      </w:pPr>
      <w:r>
        <w:rPr>
          <w:rFonts w:ascii="맑은 고딕" w:eastAsia="맑은 고딕" w:hAnsi="맑은 고딕"/>
          <w:b w:val="0"/>
          <w:sz w:val="21"/>
        </w:rPr>
        <w:t>본 연구는 AIB2PSec 프레임워크를 통해 스마트 계약 보안을 프로젝트 수준에서 이해하고, 비즈니스 로직 추출, 프로젝트 유사도 식별, 악성 거래 탐지, 위협 경고를 하나의 흐름으로 통합한다. 이는 단일 계약의 코드 결함이나 개별 거래의 이상 여부에 집중한 기존 연구와 구분된다.</w:t>
      </w:r>
    </w:p>
    <w:p>
      <w:pPr>
        <w:ind w:firstLine="425"/>
        <w:spacing w:after="120" w:line="324" w:lineRule="auto"/>
      </w:pPr>
      <w:r>
        <w:rPr>
          <w:rFonts w:ascii="맑은 고딕" w:eastAsia="맑은 고딕" w:hAnsi="맑은 고딕"/>
          <w:b w:val="0"/>
          <w:sz w:val="21"/>
        </w:rPr>
        <w:t>본 연구의 차별성은 네 가지 측면에서 정리할 수 있다. 첫째, 분석 단위를 프로젝트 수준으로 확장하여 다중 계약 호출 구조와 비즈니스 로직을 함께 고려한다. 둘째, 그래프 신경망 기반 유사도 식별과 대형 언어 모델 기반 악성 거래 탐지를 결합한다. 셋째, 원시 바이트코드와 호출 경로를 자연어 문단으로 변환하여 모델의 의미 이해 능력을 높인다. 넷째, 특정 프로젝트에서 탐지된 악성 행위를 유사 프로젝트에 연동 경고함으로써 실질적인 보안 대응 자동화 방향을 제시한다.</w:t>
      </w:r>
    </w:p>
    <w:p>
      <w:pPr>
        <w:pStyle w:val="Heading2"/>
      </w:pPr>
      <w:r>
        <w:rPr>
          <w:rFonts w:ascii="맑은 고딕" w:eastAsia="맑은 고딕" w:hAnsi="맑은 고딕"/>
          <w:b/>
          <w:sz w:val="24"/>
        </w:rPr>
        <w:t>2.10 제출용 차별성 요약 문단</w:t>
      </w:r>
    </w:p>
    <w:p>
      <w:pPr>
        <w:ind w:firstLine="425"/>
        <w:spacing w:after="120" w:line="324" w:lineRule="auto"/>
      </w:pPr>
      <w:r>
        <w:rPr>
          <w:rFonts w:ascii="맑은 고딕" w:eastAsia="맑은 고딕" w:hAnsi="맑은 고딕"/>
          <w:b w:val="0"/>
          <w:sz w:val="21"/>
        </w:rPr>
        <w:t>본 연구는 스마트 계약 보안 분석을 단일 계약의 코드 결함 탐지에서 프로젝트 수준의 비즈니스 로직 이해로 확장한다. 이를 위해 프로젝트의 과거 거래와 내부 호출 관계를 기반으로 비즈니스 로직 주간선 그래프를 구성하고, 그래프 신경망을 통해 프로젝트 유형과 유사성을 식별한다. 또한 거래 실행 바이트코드를 호출 트리와 자연어 문단으로 변환하고, 핵심 호출 객체와 중요 함수 시퀀스를 강화한 뒤 LoRA 기반 대형 언어 모델을 활용하여 악성 거래 여부를 판단한다. 나아가 탐지 결과를 유사한 비즈니스 로직을 가진 프로젝트 집합에 연동 경고함으로써, 단순한 취약점 탐지를 넘어 프로젝트 생태계 수준의 자동화 보안 대응 방향을 제시한다는 점에서 차별성을 가진다.</w:t>
      </w:r>
    </w:p>
    <w:p>
      <w:pPr>
        <w:pStyle w:val="Heading1"/>
        <w:jc w:val="center"/>
      </w:pPr>
      <w:r>
        <w:rPr>
          <w:rFonts w:ascii="맑은 고딕" w:eastAsia="맑은 고딕" w:hAnsi="맑은 고딕"/>
          <w:b/>
          <w:sz w:val="28"/>
        </w:rPr>
        <w:t>참고문헌</w:t>
      </w:r>
    </w:p>
    <w:p>
      <w:pPr>
        <w:spacing w:after="120" w:line="324" w:lineRule="auto"/>
      </w:pPr>
      <w:r>
        <w:rPr>
          <w:rFonts w:ascii="맑은 고딕" w:eastAsia="맑은 고딕" w:hAnsi="맑은 고딕"/>
          <w:b w:val="0"/>
          <w:sz w:val="19"/>
        </w:rPr>
        <w:t>[1] Ndiaye M., Diallo T. A., Konate K. Adefguard: Anomaly detection framework based on Ethereum smart contracts behaviours. Blockchain: Research and Applications, 2023.</w:t>
      </w:r>
    </w:p>
    <w:p>
      <w:pPr>
        <w:spacing w:after="120" w:line="324" w:lineRule="auto"/>
      </w:pPr>
      <w:r>
        <w:rPr>
          <w:rFonts w:ascii="맑은 고딕" w:eastAsia="맑은 고딕" w:hAnsi="맑은 고딕"/>
          <w:b w:val="0"/>
          <w:sz w:val="19"/>
        </w:rPr>
        <w:t>[2] Hisham S., Makhtar M., Aziz A. A. Anomaly detection in smart contracts based on optimal relevance hybrid features analysis in the Ethereum blockchain employing ensemble learning. International Journal of Advanced Technology and Engineering Exploration, 2023.</w:t>
      </w:r>
    </w:p>
    <w:p>
      <w:pPr>
        <w:spacing w:after="120" w:line="324" w:lineRule="auto"/>
      </w:pPr>
      <w:r>
        <w:rPr>
          <w:rFonts w:ascii="맑은 고딕" w:eastAsia="맑은 고딕" w:hAnsi="맑은 고딕"/>
          <w:b w:val="0"/>
          <w:sz w:val="19"/>
        </w:rPr>
        <w:t>[3] Li Z. et al. SmartFast: an accurate and robust formal analysis tool for Ethereum smart contracts. Empirical Software Engineering, 2022.</w:t>
      </w:r>
    </w:p>
    <w:p>
      <w:pPr>
        <w:spacing w:after="120" w:line="324" w:lineRule="auto"/>
      </w:pPr>
      <w:r>
        <w:rPr>
          <w:rFonts w:ascii="맑은 고딕" w:eastAsia="맑은 고딕" w:hAnsi="맑은 고딕"/>
          <w:b w:val="0"/>
          <w:sz w:val="19"/>
        </w:rPr>
        <w:t>[4] Hu T. et al. Transaction-based classification and detection approach for Ethereum smart contract. Information Processing &amp; Management, 2021.</w:t>
      </w:r>
    </w:p>
    <w:p>
      <w:pPr>
        <w:spacing w:after="120" w:line="324" w:lineRule="auto"/>
      </w:pPr>
      <w:r>
        <w:rPr>
          <w:rFonts w:ascii="맑은 고딕" w:eastAsia="맑은 고딕" w:hAnsi="맑은 고딕"/>
          <w:b w:val="0"/>
          <w:sz w:val="19"/>
        </w:rPr>
        <w:t>[5] Shen X., Jiang S., Zhang L. Mining bytecode features of smart contracts to detect Ponzi scheme on blockchain. Computer Modeling in Engineering &amp; Sciences, 2021.</w:t>
      </w:r>
    </w:p>
    <w:p>
      <w:pPr>
        <w:spacing w:after="120" w:line="324" w:lineRule="auto"/>
      </w:pPr>
      <w:r>
        <w:rPr>
          <w:rFonts w:ascii="맑은 고딕" w:eastAsia="맑은 고딕" w:hAnsi="맑은 고딕"/>
          <w:b w:val="0"/>
          <w:sz w:val="19"/>
        </w:rPr>
        <w:t>[6] Ali A., Abideen Z. U., Ullah K. SESCon: Secure Ethereum smart contracts by vulnerable patterns detection. Security and Communication Networks, 2021.</w:t>
      </w:r>
    </w:p>
    <w:p>
      <w:pPr>
        <w:spacing w:after="120" w:line="324" w:lineRule="auto"/>
      </w:pPr>
      <w:r>
        <w:rPr>
          <w:rFonts w:ascii="맑은 고딕" w:eastAsia="맑은 고딕" w:hAnsi="맑은 고딕"/>
          <w:b w:val="0"/>
          <w:sz w:val="19"/>
        </w:rPr>
        <w:t>[7] Ashizawa N. et al. Eth2Vec: learning contract-wide code representations for vulnerability detection on Ethereum smart contracts. ACM BSCI, 2021.</w:t>
      </w:r>
    </w:p>
    <w:p>
      <w:pPr>
        <w:spacing w:after="120" w:line="324" w:lineRule="auto"/>
      </w:pPr>
      <w:r>
        <w:rPr>
          <w:rFonts w:ascii="맑은 고딕" w:eastAsia="맑은 고딕" w:hAnsi="맑은 고딕"/>
          <w:b w:val="0"/>
          <w:sz w:val="19"/>
        </w:rPr>
        <w:t>[8] Tang X. et al. Deep learning-based solution for smart contract vulnerabilities detection. Scientific Reports, 2023.</w:t>
      </w:r>
    </w:p>
    <w:p>
      <w:pPr>
        <w:spacing w:after="120" w:line="324" w:lineRule="auto"/>
      </w:pPr>
      <w:r>
        <w:rPr>
          <w:rFonts w:ascii="맑은 고딕" w:eastAsia="맑은 고딕" w:hAnsi="맑은 고딕"/>
          <w:b w:val="0"/>
          <w:sz w:val="19"/>
        </w:rPr>
        <w:t>[9] Duan L. et al. A new smart contract anomaly detection method by fusing opcode and source code features for blockchain services. IEEE TNSM, 2023.</w:t>
      </w:r>
    </w:p>
    <w:p>
      <w:pPr>
        <w:spacing w:after="120" w:line="324" w:lineRule="auto"/>
      </w:pPr>
      <w:r>
        <w:rPr>
          <w:rFonts w:ascii="맑은 고딕" w:eastAsia="맑은 고딕" w:hAnsi="맑은 고딕"/>
          <w:b w:val="0"/>
          <w:sz w:val="19"/>
        </w:rPr>
        <w:t>[10] Song A., Seo E., Kim H. Anomaly VAE-Transformer: A deep learning approach for anomaly detection in decentralized finance. IEEE Access, 2023.</w:t>
      </w:r>
    </w:p>
    <w:p>
      <w:pPr>
        <w:spacing w:after="120" w:line="324" w:lineRule="auto"/>
      </w:pPr>
      <w:r>
        <w:rPr>
          <w:rFonts w:ascii="맑은 고딕" w:eastAsia="맑은 고딕" w:hAnsi="맑은 고딕"/>
          <w:b w:val="0"/>
          <w:sz w:val="19"/>
        </w:rPr>
        <w:t>[11] Wu H. et al. Peculiar: Smart contract vulnerability detection based on crucial data flow graph and pre-training techniques. ISSRE, 2021.</w:t>
      </w:r>
    </w:p>
    <w:p>
      <w:pPr>
        <w:spacing w:after="120" w:line="324" w:lineRule="auto"/>
      </w:pPr>
      <w:r>
        <w:rPr>
          <w:rFonts w:ascii="맑은 고딕" w:eastAsia="맑은 고딕" w:hAnsi="맑은 고딕"/>
          <w:b w:val="0"/>
          <w:sz w:val="19"/>
        </w:rPr>
        <w:t>[12] Liu Z. et al. Combining graph neural networks with expert knowledge for smart contract vulnerability detection. IEEE TKDE, 2021.</w:t>
      </w:r>
    </w:p>
    <w:p>
      <w:pPr>
        <w:spacing w:after="120" w:line="324" w:lineRule="auto"/>
      </w:pPr>
      <w:r>
        <w:rPr>
          <w:rFonts w:ascii="맑은 고딕" w:eastAsia="맑은 고딕" w:hAnsi="맑은 고딕"/>
          <w:b w:val="0"/>
          <w:sz w:val="19"/>
        </w:rPr>
        <w:t>[13] Luo F. et al. SCVHunter: Smart contract vulnerability detection based on heterogeneous graph attention network. ICSE, 2024.</w:t>
      </w:r>
    </w:p>
    <w:p>
      <w:pPr>
        <w:spacing w:after="120" w:line="324" w:lineRule="auto"/>
      </w:pPr>
      <w:r>
        <w:rPr>
          <w:rFonts w:ascii="맑은 고딕" w:eastAsia="맑은 고딕" w:hAnsi="맑은 고딕"/>
          <w:b w:val="0"/>
          <w:sz w:val="19"/>
        </w:rPr>
        <w:t>[14] Aljofey A. et al. A feature-based robust method for abnormal contracts detection in Ethereum blockchain. Electronics, 2022.</w:t>
      </w:r>
    </w:p>
    <w:p>
      <w:pPr>
        <w:spacing w:after="120" w:line="324" w:lineRule="auto"/>
      </w:pPr>
      <w:r>
        <w:rPr>
          <w:rFonts w:ascii="맑은 고딕" w:eastAsia="맑은 고딕" w:hAnsi="맑은 고딕"/>
          <w:b w:val="0"/>
          <w:sz w:val="19"/>
        </w:rPr>
        <w:t>[15] Fadi O. et al. Smart contract anomaly detection: The Contrastive Learning Paradigm. Computer Networks, 2025.</w:t>
      </w:r>
    </w:p>
    <w:p>
      <w:pPr>
        <w:spacing w:after="120" w:line="324" w:lineRule="auto"/>
        <w:rPr>
          <w:lang w:eastAsia="zh-CN"/>
          <w:rFonts w:ascii="맑은 고딕" w:eastAsia="맑은 고딕" w:hAnsi="맑은 고딕" w:hint="eastAsia"/>
          <w:b w:val="0"/>
          <w:sz w:val="19"/>
          <w:rtl w:val="off"/>
        </w:rPr>
      </w:pPr>
      <w:r>
        <w:rPr>
          <w:rFonts w:ascii="맑은 고딕" w:eastAsia="맑은 고딕" w:hAnsi="맑은 고딕"/>
          <w:b w:val="0"/>
          <w:sz w:val="19"/>
        </w:rPr>
        <w:t>[16] Liang R. et al. Vulseye: Detect smart contract vulnerabilities via stateful directed graybox fuzzing. IEEE Transactions on Information Forensics and Security, 2025.</w:t>
      </w:r>
    </w:p>
    <w:p>
      <w:pPr>
        <w:spacing w:after="120" w:line="324" w:lineRule="auto"/>
        <w:rPr>
          <w:lang w:eastAsia="zh-CN"/>
          <w:rFonts w:ascii="맑은 고딕" w:eastAsia="맑은 고딕" w:hAnsi="맑은 고딕" w:hint="eastAsia"/>
          <w:b w:val="0"/>
          <w:sz w:val="19"/>
          <w:rtl w:val="off"/>
        </w:rPr>
      </w:pPr>
    </w:p>
    <w:p>
      <w:pPr>
        <w:spacing w:after="120" w:line="324" w:lineRule="auto"/>
        <w:rPr>
          <w:lang w:eastAsia="zh-CN"/>
          <w:rFonts w:ascii="맑은 고딕" w:eastAsia="맑은 고딕" w:hAnsi="맑은 고딕" w:hint="eastAsia"/>
          <w:b w:val="0"/>
          <w:sz w:val="19"/>
          <w:rtl w:val="off"/>
        </w:rPr>
      </w:pPr>
    </w:p>
    <w:p>
      <w:pPr>
        <w:spacing w:after="120" w:line="324" w:lineRule="auto"/>
        <w:rPr>
          <w:lang w:eastAsia="zh-CN"/>
          <w:rFonts w:ascii="맑은 고딕" w:eastAsia="맑은 고딕" w:hAnsi="맑은 고딕" w:hint="eastAsia"/>
          <w:b w:val="0"/>
          <w:sz w:val="19"/>
          <w:rtl w:val="off"/>
        </w:rPr>
      </w:pPr>
    </w:p>
    <w:p>
      <w:pPr>
        <w:adjustRightInd/>
        <w:pStyle w:val="Title"/>
        <w:autoSpaceDE/>
        <w:autoSpaceDN/>
        <w:topLinePunct w:val="off"/>
        <w:bidi w:val="off"/>
        <w:keepNext w:val="off"/>
        <w:keepLines w:val="off"/>
        <w:pageBreakBefore w:val="off"/>
        <w:widowControl/>
        <w:kinsoku/>
        <w:wordWrap/>
        <w:overflowPunct/>
        <w:snapToGrid/>
        <w:jc w:val="center"/>
        <w:spacing w:after="0" w:line="360" w:lineRule="auto"/>
        <w:textAlignment w:val="auto"/>
        <w:rPr>
          <w:lang w:eastAsia="zh-CN"/>
          <w:rFonts w:ascii="黑体" w:eastAsia="黑体" w:hAnsi="黑体" w:cs="黑体" w:hint="eastAsia"/>
          <w:b/>
          <w:sz w:val="24"/>
          <w:szCs w:val="24"/>
          <w:rtl w:val="off"/>
        </w:rPr>
      </w:pPr>
    </w:p>
    <w:p>
      <w:pPr>
        <w:adjustRightInd/>
        <w:pStyle w:val="Title"/>
        <w:autoSpaceDE/>
        <w:autoSpaceDN/>
        <w:topLinePunct w:val="off"/>
        <w:bidi w:val="off"/>
        <w:keepNext w:val="off"/>
        <w:keepLines w:val="off"/>
        <w:pageBreakBefore w:val="off"/>
        <w:widowControl/>
        <w:kinsoku/>
        <w:wordWrap/>
        <w:overflowPunct/>
        <w:snapToGrid/>
        <w:jc w:val="center"/>
        <w:spacing w:after="0" w:line="360" w:lineRule="auto"/>
        <w:textAlignment w:val="auto"/>
        <w:rPr>
          <w:rFonts w:ascii="黑体" w:eastAsia="黑体" w:hAnsi="黑体" w:cs="黑体" w:hint="eastAsia"/>
          <w:sz w:val="24"/>
          <w:szCs w:val="24"/>
        </w:rPr>
      </w:pPr>
      <w:r>
        <w:rPr>
          <w:rFonts w:ascii="黑体" w:eastAsia="黑体" w:hAnsi="黑体" w:cs="黑体" w:hint="eastAsia"/>
          <w:b/>
          <w:sz w:val="24"/>
          <w:szCs w:val="24"/>
        </w:rPr>
        <w:t>第9周产出物</w:t>
      </w:r>
    </w:p>
    <w:p>
      <w:pPr>
        <w:adjustRightInd/>
        <w:autoSpaceDE/>
        <w:autoSpaceDN/>
        <w:topLinePunct w:val="off"/>
        <w:bidi w:val="off"/>
        <w:keepNext w:val="off"/>
        <w:keepLines w:val="off"/>
        <w:pageBreakBefore w:val="off"/>
        <w:widowControl/>
        <w:kinsoku/>
        <w:wordWrap/>
        <w:overflowPunct/>
        <w:snapToGrid/>
        <w:jc w:val="center"/>
        <w:spacing w:after="181" w:afterLines="50" w:before="181" w:beforeLines="50" w:line="360" w:lineRule="auto"/>
        <w:textAlignment w:val="auto"/>
        <w:rPr>
          <w:rFonts w:asciiTheme="minorEastAsia" w:hAnsiTheme="minorEastAsia" w:cstheme="minorEastAsia"/>
          <w:b/>
          <w:bCs/>
          <w:sz w:val="24"/>
          <w:szCs w:val="24"/>
        </w:rPr>
      </w:pPr>
      <w:r>
        <w:rPr>
          <w:rFonts w:asciiTheme="minorEastAsia" w:hAnsiTheme="minorEastAsia" w:cstheme="minorEastAsia"/>
          <w:b/>
          <w:bCs/>
          <w:sz w:val="24"/>
          <w:szCs w:val="24"/>
        </w:rPr>
        <w:t>相关研究初稿与本研究差异性段落</w:t>
      </w:r>
    </w:p>
    <w:p>
      <w:pPr>
        <w:adjustRightInd/>
        <w:autoSpaceDE/>
        <w:autoSpaceDN/>
        <w:topLinePunct w:val="off"/>
        <w:bidi w:val="off"/>
        <w:keepNext w:val="off"/>
        <w:keepLines w:val="off"/>
        <w:pageBreakBefore w:val="off"/>
        <w:widowControl/>
        <w:kinsoku/>
        <w:wordWrap/>
        <w:overflowPunct/>
        <w:snapToGrid/>
        <w:jc w:val="center"/>
        <w:spacing w:after="0" w:line="360" w:lineRule="auto"/>
        <w:textAlignment w:val="auto"/>
        <w:rPr>
          <w:rFonts w:ascii="맑은 고딕" w:eastAsia="맑은 고딕" w:hAnsi="맑은 고딕" w:cs="맑은 고딕" w:hint="eastAsia"/>
          <w:sz w:val="21"/>
          <w:szCs w:val="21"/>
        </w:rPr>
      </w:pPr>
      <w:r>
        <w:rPr>
          <w:rFonts w:ascii="宋体" w:eastAsia="宋体" w:hAnsi="宋体" w:cs="宋体" w:hint="eastAsia"/>
          <w:sz w:val="21"/>
          <w:szCs w:val="21"/>
        </w:rPr>
        <w:t>论文题目：基于人工智能的智能合约项目自动化恶意检测技术</w:t>
      </w:r>
      <w:r>
        <w:rPr>
          <w:rFonts w:ascii="宋体" w:eastAsia="宋体" w:hAnsi="宋体" w:cs="宋体" w:hint="eastAsia"/>
          <w:sz w:val="21"/>
          <w:szCs w:val="21"/>
        </w:rPr>
        <w:br/>
      </w:r>
      <w:r>
        <w:rPr>
          <w:rFonts w:asciiTheme="minorEastAsia" w:hAnsiTheme="minorEastAsia" w:cstheme="minorEastAsia"/>
          <w:sz w:val="21"/>
          <w:szCs w:val="21"/>
        </w:rPr>
        <w:t>作者：</w:t>
      </w:r>
      <w:r>
        <w:rPr>
          <w:rFonts w:ascii="맑은 고딕" w:eastAsia="맑은 고딕" w:hAnsi="맑은 고딕" w:cs="맑은 고딕" w:hint="eastAsia"/>
          <w:sz w:val="21"/>
          <w:szCs w:val="21"/>
        </w:rPr>
        <w:t>천희(CHEN XI) / 50250336</w:t>
      </w:r>
    </w:p>
    <w:p>
      <w:pPr>
        <w:adjustRightInd/>
        <w:autoSpaceDE/>
        <w:autoSpaceDN/>
        <w:topLinePunct w:val="off"/>
        <w:bidi w:val="off"/>
        <w:keepNext w:val="off"/>
        <w:keepLines w:val="off"/>
        <w:pageBreakBefore w:val="off"/>
        <w:widowControl/>
        <w:kinsoku/>
        <w:wordWrap/>
        <w:overflowPunct/>
        <w:snapToGrid/>
        <w:jc w:val="both"/>
        <w:spacing w:after="181" w:afterLines="50" w:before="181" w:beforeLines="50" w:line="360" w:lineRule="auto"/>
        <w:textAlignment w:val="auto"/>
        <w:rPr>
          <w:rFonts w:ascii="宋体" w:eastAsia="宋体" w:hAnsi="宋体" w:cs="宋体" w:hint="eastAsia"/>
          <w:b/>
          <w:bCs/>
          <w:sz w:val="24"/>
          <w:szCs w:val="24"/>
        </w:rPr>
      </w:pPr>
      <w:r>
        <w:rPr>
          <w:lang w:val="en-US" w:eastAsia="zh-CN"/>
          <w:rFonts w:ascii="宋体" w:eastAsia="宋体" w:hAnsi="宋体" w:cs="宋体" w:hint="eastAsia"/>
          <w:b/>
          <w:bCs/>
          <w:sz w:val="24"/>
          <w:szCs w:val="24"/>
        </w:rPr>
        <w:t>1.</w:t>
      </w:r>
      <w:r>
        <w:rPr>
          <w:rFonts w:ascii="宋体" w:eastAsia="宋体" w:hAnsi="宋体" w:cs="宋体" w:hint="eastAsia"/>
          <w:b/>
          <w:bCs/>
          <w:sz w:val="24"/>
          <w:szCs w:val="24"/>
        </w:rPr>
        <w:t>提交物概要</w:t>
      </w:r>
    </w:p>
    <w:p>
      <w:pPr>
        <w:adjustRightInd/>
        <w:ind w:firstLine="200"/>
        <w:autoSpaceDE/>
        <w:autoSpaceDN/>
        <w:topLinePunct w:val="off"/>
        <w:bidi w:val="off"/>
        <w:keepNext w:val="off"/>
        <w:keepLines w:val="off"/>
        <w:pageBreakBefore w:val="off"/>
        <w:widowControl/>
        <w:kinsoku/>
        <w:wordWrap/>
        <w:overflowPunct/>
        <w:snapToGrid/>
        <w:jc w:val="both"/>
        <w:spacing w:after="0" w:line="360" w:lineRule="auto"/>
        <w:textAlignment w:val="auto"/>
        <w:rPr>
          <w:lang w:val="en-US" w:eastAsia="en-US" w:bidi="ar-SA"/>
          <w:rFonts w:ascii="宋体" w:eastAsia="宋体" w:hAnsi="宋体" w:cs="宋体" w:hint="eastAsia"/>
          <w:sz w:val="21"/>
          <w:szCs w:val="21"/>
        </w:rPr>
      </w:pPr>
      <w:r>
        <w:rPr>
          <w:lang w:val="en-US" w:eastAsia="en-US" w:bidi="ar-SA"/>
          <w:rFonts w:ascii="宋体" w:eastAsia="宋体" w:hAnsi="宋体" w:cs="宋体" w:hint="eastAsia"/>
          <w:sz w:val="21"/>
          <w:szCs w:val="21"/>
        </w:rPr>
        <w:t>本文档是第9周</w:t>
      </w:r>
      <w:r>
        <w:rPr>
          <w:lang w:val="en-US" w:eastAsia="en-US" w:bidi="ar-SA"/>
          <w:rFonts w:ascii="宋体" w:eastAsia="宋体" w:hAnsi="宋体" w:cs="宋体" w:hint="eastAsia"/>
          <w:sz w:val="21"/>
          <w:szCs w:val="21"/>
        </w:rPr>
        <w:t>作业</w:t>
      </w:r>
      <w:r>
        <w:rPr>
          <w:lang w:val="en-US" w:eastAsia="en-US" w:bidi="ar-SA"/>
          <w:rFonts w:ascii="宋体" w:eastAsia="宋体" w:hAnsi="宋体" w:cs="宋体" w:hint="eastAsia"/>
          <w:sz w:val="21"/>
          <w:szCs w:val="21"/>
        </w:rPr>
        <w:t>成果。</w:t>
      </w:r>
      <w:r>
        <w:rPr>
          <w:lang w:val="en-US" w:eastAsia="en-US" w:bidi="ar-SA"/>
          <w:rFonts w:ascii="宋体" w:eastAsia="宋体" w:hAnsi="宋体" w:cs="宋体" w:hint="eastAsia"/>
          <w:sz w:val="21"/>
          <w:szCs w:val="21"/>
        </w:rPr>
        <w:t>文档里面</w:t>
      </w:r>
      <w:r>
        <w:rPr>
          <w:lang w:val="en-US" w:eastAsia="en-US" w:bidi="ar-SA"/>
          <w:rFonts w:ascii="宋体" w:eastAsia="宋体" w:hAnsi="宋体" w:cs="宋体" w:hint="eastAsia"/>
          <w:sz w:val="21"/>
          <w:szCs w:val="21"/>
        </w:rPr>
        <w:t>增加了研究发展流程图、AIB2PSec概念框架图、现有研究局限与本文应对方向关系图</w:t>
      </w:r>
      <w:r>
        <w:rPr>
          <w:lang w:val="en-US" w:eastAsia="en-US" w:bidi="ar-SA"/>
          <w:rFonts w:ascii="宋体" w:eastAsia="宋体" w:hAnsi="宋体" w:cs="宋体" w:hint="eastAsia"/>
          <w:sz w:val="21"/>
          <w:szCs w:val="21"/>
        </w:rPr>
        <w:t>，</w:t>
      </w:r>
      <w:r>
        <w:rPr>
          <w:lang w:val="en-US" w:eastAsia="en-US" w:bidi="ar-SA"/>
          <w:rFonts w:ascii="宋体" w:eastAsia="宋体" w:hAnsi="宋体" w:cs="宋体" w:hint="eastAsia"/>
          <w:sz w:val="21"/>
          <w:szCs w:val="21"/>
        </w:rPr>
        <w:t>从而更清晰地展示研究脉络、共同不足与本文贡献。</w:t>
      </w:r>
    </w:p>
    <w:p>
      <w:pPr>
        <w:adjustRightInd/>
        <w:autoSpaceDE/>
        <w:autoSpaceDN/>
        <w:topLinePunct w:val="off"/>
        <w:bidi w:val="off"/>
        <w:keepNext w:val="off"/>
        <w:keepLines w:val="off"/>
        <w:pageBreakBefore w:val="off"/>
        <w:widowControl/>
        <w:kinsoku/>
        <w:wordWrap/>
        <w:overflowPunct/>
        <w:snapToGrid/>
        <w:jc w:val="both"/>
        <w:spacing w:after="181" w:afterLines="50" w:before="181" w:beforeLines="50" w:line="360" w:lineRule="auto"/>
        <w:textAlignment w:val="auto"/>
        <w:rPr>
          <w:lang w:val="en-US" w:eastAsia="zh-CN"/>
          <w:rFonts w:ascii="宋体" w:eastAsia="宋体" w:hAnsi="宋体" w:cs="宋体" w:hint="eastAsia"/>
          <w:b/>
          <w:bCs/>
          <w:sz w:val="24"/>
          <w:szCs w:val="24"/>
        </w:rPr>
      </w:pPr>
      <w:r>
        <w:rPr>
          <w:lang w:val="en-US" w:eastAsia="zh-CN"/>
          <w:rFonts w:ascii="宋体" w:eastAsia="宋体" w:hAnsi="宋体" w:cs="宋体" w:hint="eastAsia"/>
          <w:b/>
          <w:bCs/>
          <w:sz w:val="24"/>
          <w:szCs w:val="24"/>
        </w:rPr>
        <w:t>2. 相关研究</w:t>
      </w:r>
    </w:p>
    <w:p>
      <w:pPr>
        <w:adjustRightInd/>
        <w:autoSpaceDE/>
        <w:autoSpaceDN/>
        <w:topLinePunct w:val="off"/>
        <w:bidi w:val="off"/>
        <w:keepNext w:val="off"/>
        <w:keepLines w:val="off"/>
        <w:pageBreakBefore w:val="off"/>
        <w:widowControl/>
        <w:kinsoku/>
        <w:wordWrap/>
        <w:overflowPunct/>
        <w:snapToGrid/>
        <w:jc w:val="both"/>
        <w:spacing w:after="181" w:afterLines="50" w:before="181" w:beforeLines="50" w:line="360" w:lineRule="auto"/>
        <w:textAlignment w:val="auto"/>
        <w:rPr>
          <w:lang w:val="en-US" w:eastAsia="zh-CN"/>
          <w:rFonts w:ascii="宋体" w:eastAsia="宋体" w:hAnsi="宋体" w:cs="宋体" w:hint="eastAsia"/>
        </w:rPr>
      </w:pPr>
      <w:r>
        <w:rPr>
          <w:lang w:val="en-US" w:eastAsia="zh-CN"/>
          <w:rFonts w:ascii="宋体" w:eastAsia="宋体" w:hAnsi="宋体" w:cs="宋体" w:hint="eastAsia"/>
        </w:rPr>
        <w:t>2.1 相关研究导入</w:t>
      </w:r>
    </w:p>
    <w:p>
      <w:pPr>
        <w:adjustRightInd/>
        <w:ind w:firstLineChars="200" w:firstLine="420"/>
        <w:autoSpaceDE/>
        <w:autoSpaceDN/>
        <w:topLinePunct w:val="off"/>
        <w:bidi w:val="off"/>
        <w:keepNext w:val="off"/>
        <w:keepLines w:val="off"/>
        <w:pageBreakBefore w:val="off"/>
        <w:widowControl/>
        <w:kinsoku/>
        <w:wordWrap/>
        <w:overflowPunct/>
        <w:snapToGrid/>
        <w:jc w:val="both"/>
        <w:spacing w:after="0" w:line="360" w:lineRule="auto"/>
        <w:textAlignment w:val="auto"/>
        <w:rPr>
          <w:rFonts w:ascii="宋体" w:eastAsia="宋体" w:hAnsi="宋体" w:cs="宋体" w:hint="eastAsia"/>
          <w:sz w:val="21"/>
          <w:szCs w:val="21"/>
        </w:rPr>
      </w:pPr>
      <w:r>
        <w:rPr>
          <w:rFonts w:ascii="宋体" w:eastAsia="宋体" w:hAnsi="宋体" w:cs="宋体" w:hint="eastAsia"/>
          <w:sz w:val="21"/>
          <w:szCs w:val="21"/>
        </w:rPr>
        <w:t>智能合约是去中心化应用中实现资产转移、权限控制、状态更新以及外部协议联动的核心技术。由于智能合约部署后难以修改，且执行过程发生在开放网络环境中，因此代码缺陷、交易执行路径异常以及业务逻辑错误都可能直接转化为安全威胁。</w:t>
      </w:r>
    </w:p>
    <w:p>
      <w:pPr>
        <w:adjustRightInd/>
        <w:ind w:firstLine="200"/>
        <w:autoSpaceDE/>
        <w:autoSpaceDN/>
        <w:topLinePunct w:val="off"/>
        <w:bidi w:val="off"/>
        <w:keepNext w:val="off"/>
        <w:keepLines w:val="off"/>
        <w:pageBreakBefore w:val="off"/>
        <w:widowControl/>
        <w:kinsoku/>
        <w:wordWrap/>
        <w:overflowPunct/>
        <w:snapToGrid/>
        <w:jc w:val="both"/>
        <w:spacing w:after="0" w:line="360" w:lineRule="auto"/>
        <w:textAlignment w:val="auto"/>
        <w:rPr>
          <w:lang w:val="en-US" w:eastAsia="en-US" w:bidi="ar-SA"/>
          <w:rFonts w:ascii="宋体" w:eastAsia="宋体" w:hAnsi="宋体" w:cs="宋体" w:hint="eastAsia"/>
          <w:sz w:val="21"/>
          <w:szCs w:val="21"/>
        </w:rPr>
      </w:pPr>
      <w:r>
        <w:rPr>
          <w:lang w:val="en-US" w:eastAsia="en-US" w:bidi="ar-SA"/>
          <w:rFonts w:ascii="宋体" w:eastAsia="宋体" w:hAnsi="宋体" w:cs="宋体" w:hint="eastAsia"/>
          <w:sz w:val="21"/>
          <w:szCs w:val="21"/>
        </w:rPr>
        <w:t>近年来，智能合约安全研究已从代码审计和漏洞检测，逐步扩展到交易执行过程中的调用关系、状态变化、外部协议交互以及项目间业务相似性的综合分析。真实攻击往往由多个合约、外部流动性池、价格预言机和权限模块共同构成的执行路径触发。</w:t>
      </w:r>
    </w:p>
    <w:p>
      <w:pPr>
        <w:adjustRightInd/>
        <w:ind w:firstLine="200"/>
        <w:autoSpaceDE/>
        <w:autoSpaceDN/>
        <w:topLinePunct w:val="off"/>
        <w:bidi w:val="off"/>
        <w:keepNext w:val="off"/>
        <w:keepLines w:val="off"/>
        <w:pageBreakBefore w:val="off"/>
        <w:widowControl/>
        <w:kinsoku/>
        <w:wordWrap/>
        <w:overflowPunct/>
        <w:snapToGrid/>
        <w:jc w:val="both"/>
        <w:spacing w:after="0" w:line="360" w:lineRule="auto"/>
        <w:textAlignment w:val="auto"/>
        <w:rPr>
          <w:lang w:val="en-US" w:eastAsia="en-US" w:bidi="ar-SA"/>
          <w:rFonts w:ascii="宋体" w:eastAsia="宋体" w:hAnsi="宋体" w:cs="宋体" w:hint="eastAsia"/>
          <w:sz w:val="21"/>
          <w:szCs w:val="21"/>
        </w:rPr>
      </w:pPr>
      <w:r>
        <w:rPr>
          <w:lang w:val="en-US" w:eastAsia="en-US" w:bidi="ar-SA"/>
          <w:rFonts w:ascii="宋体" w:eastAsia="宋体" w:hAnsi="宋体" w:cs="宋体" w:hint="eastAsia"/>
          <w:sz w:val="21"/>
          <w:szCs w:val="21"/>
        </w:rPr>
        <w:t>本章将现有研究划分为漏洞检测与静态分析、形式化验证与模糊测试、基于交易的动态检测、图神经网络、大语言模型以及项目级威胁预警六类，并在此基础上说明AIB2PSec框架的差异性与贡献。</w:t>
      </w:r>
    </w:p>
    <w:p>
      <w:pPr>
        <w:jc w:val="center"/>
      </w:pPr>
      <w:r>
        <w:drawing>
          <wp:inline distT="0" distB="0" distL="0" distR="0">
            <wp:extent cx="5852160" cy="1892052"/>
            <wp:effectExtent l="0" t="0" r="0" b="0"/>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5">
                      <a:extLst>
                        <a:ext uri="{28A0092B-C50C-407E-A947-70E740481C1C}">
                          <a14:useLocalDpi xmlns:a14="http://schemas.microsoft.com/office/drawing/2010/main" val="0"/>
                        </a:ext>
                      </a:extLst>
                    </a:blip>
                    <a:srcRect/>
                    <a:stretch>
                      <a:fillRect/>
                    </a:stretch>
                  </pic:blipFill>
                  <pic:spPr>
                    <a:xfrm>
                      <a:off x="0" y="0"/>
                      <a:ext cx="5852160" cy="1892052"/>
                    </a:xfrm>
                    <a:prstGeom prst="rect"/>
                  </pic:spPr>
                </pic:pic>
              </a:graphicData>
            </a:graphic>
          </wp:inline>
        </w:drawing>
      </w:r>
    </w:p>
    <w:p>
      <w:pPr>
        <w:jc w:val="center"/>
      </w:pPr>
      <w:r>
        <w:rPr>
          <w:rFonts w:ascii="Microsoft YaHei" w:eastAsia="Microsoft YaHei" w:hAnsi="Microsoft YaHei"/>
          <w:b/>
          <w:sz w:val="19"/>
        </w:rPr>
        <w:t>图2-1 智能合约安全相关研究的发展流程</w:t>
      </w:r>
    </w:p>
    <w:p>
      <w:pPr>
        <w:jc w:val="center"/>
        <w:rPr>
          <w:lang w:eastAsia="zh-CN"/>
          <w:rFonts w:ascii="Microsoft YaHei" w:eastAsia="Microsoft YaHei" w:hAnsi="Microsoft YaHei" w:hint="eastAsia"/>
          <w:b/>
          <w:sz w:val="19"/>
          <w:rtl w:val="off"/>
        </w:rPr>
      </w:pPr>
    </w:p>
    <w:p>
      <w:pPr>
        <w:jc w:val="center"/>
      </w:pPr>
      <w:r>
        <w:rPr>
          <w:rFonts w:ascii="Microsoft YaHei" w:eastAsia="Microsoft YaHei" w:hAnsi="Microsoft YaHei"/>
          <w:b/>
          <w:sz w:val="19"/>
        </w:rPr>
        <w:t>表2-1 相关研究研究群分类</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Layout w:type="autofit"/>
        <w:tblCellMar>
          <w:top w:w="0" w:type="dxa"/>
          <w:left w:w="108" w:type="dxa"/>
          <w:bottom w:w="0" w:type="dxa"/>
          <w:right w:w="108" w:type="dxa"/>
        </w:tblCellMar>
      </w:tblPr>
      <w:tblGrid>
        <w:gridCol w:w="2351"/>
        <w:gridCol w:w="2351"/>
        <w:gridCol w:w="2351"/>
        <w:gridCol w:w="235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shd w:val="clear" w:color="auto" w:fill="D9EAF7"/>
            <w:vAlign w:val="center"/>
          </w:tcPr>
          <w:p>
            <w:pPr>
              <w:jc w:val="center"/>
              <w:spacing w:after="0" w:line="240" w:lineRule="auto"/>
            </w:pPr>
            <w:r>
              <w:rPr>
                <w:rFonts w:ascii="Microsoft YaHei" w:eastAsia="Microsoft YaHei" w:hAnsi="Microsoft YaHei"/>
                <w:b/>
                <w:sz w:val="18"/>
              </w:rPr>
              <w:t>研究群</w:t>
            </w:r>
          </w:p>
        </w:tc>
        <w:tc>
          <w:tcPr>
            <w:tcW w:w="2351" w:type="dxa"/>
            <w:shd w:val="clear" w:color="auto" w:fill="D9EAF7"/>
            <w:vAlign w:val="center"/>
          </w:tcPr>
          <w:p>
            <w:pPr>
              <w:jc w:val="center"/>
              <w:spacing w:after="0" w:line="240" w:lineRule="auto"/>
            </w:pPr>
            <w:r>
              <w:rPr>
                <w:rFonts w:ascii="Microsoft YaHei" w:eastAsia="Microsoft YaHei" w:hAnsi="Microsoft YaHei"/>
                <w:b/>
                <w:sz w:val="18"/>
              </w:rPr>
              <w:t>主要分析对象</w:t>
            </w:r>
          </w:p>
        </w:tc>
        <w:tc>
          <w:tcPr>
            <w:tcW w:w="2351" w:type="dxa"/>
            <w:shd w:val="clear" w:color="auto" w:fill="D9EAF7"/>
            <w:vAlign w:val="center"/>
          </w:tcPr>
          <w:p>
            <w:pPr>
              <w:jc w:val="center"/>
              <w:spacing w:after="0" w:line="240" w:lineRule="auto"/>
            </w:pPr>
            <w:r>
              <w:rPr>
                <w:rFonts w:ascii="Microsoft YaHei" w:eastAsia="Microsoft YaHei" w:hAnsi="Microsoft YaHei"/>
                <w:b/>
                <w:sz w:val="18"/>
              </w:rPr>
              <w:t>代表性方法</w:t>
            </w:r>
          </w:p>
        </w:tc>
        <w:tc>
          <w:tcPr>
            <w:tcW w:w="2351" w:type="dxa"/>
            <w:shd w:val="clear" w:color="auto" w:fill="D9EAF7"/>
            <w:vAlign w:val="center"/>
          </w:tcPr>
          <w:p>
            <w:pPr>
              <w:jc w:val="center"/>
              <w:spacing w:after="0" w:line="240" w:lineRule="auto"/>
            </w:pPr>
            <w:r>
              <w:rPr>
                <w:rFonts w:ascii="Microsoft YaHei" w:eastAsia="Microsoft YaHei" w:hAnsi="Microsoft YaHei"/>
                <w:b/>
                <w:sz w:val="18"/>
              </w:rPr>
              <w:t>与本文的关系</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Microsoft YaHei" w:eastAsia="Microsoft YaHei" w:hAnsi="Microsoft YaHei"/>
                <w:b w:val="0"/>
                <w:sz w:val="17"/>
              </w:rPr>
              <w:t>漏洞检测与静态分析</w:t>
            </w:r>
          </w:p>
        </w:tc>
        <w:tc>
          <w:tcPr>
            <w:tcW w:w="2351" w:type="dxa"/>
            <w:vAlign w:val="center"/>
          </w:tcPr>
          <w:p>
            <w:pPr>
              <w:spacing w:after="0" w:line="240" w:lineRule="auto"/>
            </w:pPr>
            <w:r>
              <w:rPr>
                <w:rFonts w:ascii="Microsoft YaHei" w:eastAsia="Microsoft YaHei" w:hAnsi="Microsoft YaHei"/>
                <w:b w:val="0"/>
                <w:sz w:val="17"/>
              </w:rPr>
              <w:t>源代码、操作码、控制流、数据流</w:t>
            </w:r>
          </w:p>
        </w:tc>
        <w:tc>
          <w:tcPr>
            <w:tcW w:w="2351" w:type="dxa"/>
            <w:vAlign w:val="center"/>
          </w:tcPr>
          <w:p>
            <w:pPr>
              <w:spacing w:after="0" w:line="240" w:lineRule="auto"/>
            </w:pPr>
            <w:r>
              <w:rPr>
                <w:rFonts w:ascii="Microsoft YaHei" w:eastAsia="Microsoft YaHei" w:hAnsi="Microsoft YaHei"/>
                <w:b w:val="0"/>
                <w:sz w:val="17"/>
              </w:rPr>
              <w:t>漏洞模式检测、代码表示学习、静态分析</w:t>
            </w:r>
          </w:p>
        </w:tc>
        <w:tc>
          <w:tcPr>
            <w:tcW w:w="2351" w:type="dxa"/>
            <w:vAlign w:val="center"/>
          </w:tcPr>
          <w:p>
            <w:pPr>
              <w:spacing w:after="0" w:line="240" w:lineRule="auto"/>
            </w:pPr>
            <w:r>
              <w:rPr>
                <w:rFonts w:ascii="Microsoft YaHei" w:eastAsia="Microsoft YaHei" w:hAnsi="Microsoft YaHei"/>
                <w:b w:val="0"/>
                <w:sz w:val="17"/>
              </w:rPr>
              <w:t>对代码缺陷识别有效，但对项目运行语境和业务逻辑解释存在局限</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Microsoft YaHei" w:eastAsia="Microsoft YaHei" w:hAnsi="Microsoft YaHei"/>
                <w:b w:val="0"/>
                <w:sz w:val="17"/>
              </w:rPr>
              <w:t>形式化验证与模糊测试</w:t>
            </w:r>
          </w:p>
        </w:tc>
        <w:tc>
          <w:tcPr>
            <w:tcW w:w="2351" w:type="dxa"/>
            <w:vAlign w:val="center"/>
          </w:tcPr>
          <w:p>
            <w:pPr>
              <w:spacing w:after="0" w:line="240" w:lineRule="auto"/>
            </w:pPr>
            <w:r>
              <w:rPr>
                <w:rFonts w:ascii="Microsoft YaHei" w:eastAsia="Microsoft YaHei" w:hAnsi="Microsoft YaHei"/>
                <w:b w:val="0"/>
                <w:sz w:val="17"/>
              </w:rPr>
              <w:t>状态转移、函数调用条件、异常执行路径</w:t>
            </w:r>
          </w:p>
        </w:tc>
        <w:tc>
          <w:tcPr>
            <w:tcW w:w="2351" w:type="dxa"/>
            <w:vAlign w:val="center"/>
          </w:tcPr>
          <w:p>
            <w:pPr>
              <w:spacing w:after="0" w:line="240" w:lineRule="auto"/>
            </w:pPr>
            <w:r>
              <w:rPr>
                <w:rFonts w:ascii="Microsoft YaHei" w:eastAsia="Microsoft YaHei" w:hAnsi="Microsoft YaHei"/>
                <w:b w:val="0"/>
                <w:sz w:val="17"/>
              </w:rPr>
              <w:t>符号执行、模型验证、灰盒模糊测试</w:t>
            </w:r>
          </w:p>
        </w:tc>
        <w:tc>
          <w:tcPr>
            <w:tcW w:w="2351" w:type="dxa"/>
            <w:vAlign w:val="center"/>
          </w:tcPr>
          <w:p>
            <w:pPr>
              <w:spacing w:after="0" w:line="240" w:lineRule="auto"/>
            </w:pPr>
            <w:r>
              <w:rPr>
                <w:rFonts w:ascii="Microsoft YaHei" w:eastAsia="Microsoft YaHei" w:hAnsi="Microsoft YaHei"/>
                <w:b w:val="0"/>
                <w:sz w:val="17"/>
              </w:rPr>
              <w:t>有助于发现潜在脆弱路径，但判断其是否属于实际业务攻击仍需进一步解释</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Microsoft YaHei" w:eastAsia="Microsoft YaHei" w:hAnsi="Microsoft YaHei"/>
                <w:b w:val="0"/>
                <w:sz w:val="17"/>
              </w:rPr>
              <w:t>基于交易的动态检测</w:t>
            </w:r>
          </w:p>
        </w:tc>
        <w:tc>
          <w:tcPr>
            <w:tcW w:w="2351" w:type="dxa"/>
            <w:vAlign w:val="center"/>
          </w:tcPr>
          <w:p>
            <w:pPr>
              <w:spacing w:after="0" w:line="240" w:lineRule="auto"/>
            </w:pPr>
            <w:r>
              <w:rPr>
                <w:rFonts w:ascii="Microsoft YaHei" w:eastAsia="Microsoft YaHei" w:hAnsi="Microsoft YaHei"/>
                <w:b w:val="0"/>
                <w:sz w:val="17"/>
              </w:rPr>
              <w:t>交易哈希、内部调用、事件日志、状态变化</w:t>
            </w:r>
          </w:p>
        </w:tc>
        <w:tc>
          <w:tcPr>
            <w:tcW w:w="2351" w:type="dxa"/>
            <w:vAlign w:val="center"/>
          </w:tcPr>
          <w:p>
            <w:pPr>
              <w:spacing w:after="0" w:line="240" w:lineRule="auto"/>
            </w:pPr>
            <w:r>
              <w:rPr>
                <w:rFonts w:ascii="Microsoft YaHei" w:eastAsia="Microsoft YaHei" w:hAnsi="Microsoft YaHei"/>
                <w:b w:val="0"/>
                <w:sz w:val="17"/>
              </w:rPr>
              <w:t>行为特征提取、时序分析、深度学习异常检测</w:t>
            </w:r>
          </w:p>
        </w:tc>
        <w:tc>
          <w:tcPr>
            <w:tcW w:w="2351" w:type="dxa"/>
            <w:vAlign w:val="center"/>
          </w:tcPr>
          <w:p>
            <w:pPr>
              <w:spacing w:after="0" w:line="240" w:lineRule="auto"/>
            </w:pPr>
            <w:r>
              <w:rPr>
                <w:rFonts w:ascii="Microsoft YaHei" w:eastAsia="Microsoft YaHei" w:hAnsi="Microsoft YaHei"/>
                <w:b w:val="0"/>
                <w:sz w:val="17"/>
              </w:rPr>
              <w:t>能够反映真实攻击执行过程，但常停留在单交易或单项目分析层面</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Microsoft YaHei" w:eastAsia="Microsoft YaHei" w:hAnsi="Microsoft YaHei"/>
                <w:b w:val="0"/>
                <w:sz w:val="17"/>
              </w:rPr>
              <w:t>图神经网络分析</w:t>
            </w:r>
          </w:p>
        </w:tc>
        <w:tc>
          <w:tcPr>
            <w:tcW w:w="2351" w:type="dxa"/>
            <w:vAlign w:val="center"/>
          </w:tcPr>
          <w:p>
            <w:pPr>
              <w:spacing w:after="0" w:line="240" w:lineRule="auto"/>
            </w:pPr>
            <w:r>
              <w:rPr>
                <w:rFonts w:ascii="Microsoft YaHei" w:eastAsia="Microsoft YaHei" w:hAnsi="Microsoft YaHei"/>
                <w:b w:val="0"/>
                <w:sz w:val="17"/>
              </w:rPr>
              <w:t>函数调用图、合约间调用图、数据流图</w:t>
            </w:r>
          </w:p>
        </w:tc>
        <w:tc>
          <w:tcPr>
            <w:tcW w:w="2351" w:type="dxa"/>
            <w:vAlign w:val="center"/>
          </w:tcPr>
          <w:p>
            <w:pPr>
              <w:spacing w:after="0" w:line="240" w:lineRule="auto"/>
            </w:pPr>
            <w:r>
              <w:rPr>
                <w:rFonts w:ascii="Microsoft YaHei" w:eastAsia="Microsoft YaHei" w:hAnsi="Microsoft YaHei"/>
                <w:b w:val="0"/>
                <w:sz w:val="17"/>
              </w:rPr>
              <w:t>GCN、GAT、GIN、图嵌入</w:t>
            </w:r>
          </w:p>
        </w:tc>
        <w:tc>
          <w:tcPr>
            <w:tcW w:w="2351" w:type="dxa"/>
            <w:vAlign w:val="center"/>
          </w:tcPr>
          <w:p>
            <w:pPr>
              <w:spacing w:after="0" w:line="240" w:lineRule="auto"/>
            </w:pPr>
            <w:r>
              <w:rPr>
                <w:rFonts w:ascii="Microsoft YaHei" w:eastAsia="Microsoft YaHei" w:hAnsi="Microsoft YaHei"/>
                <w:b w:val="0"/>
                <w:sz w:val="17"/>
              </w:rPr>
              <w:t>能够体现关系性和结构性，但与项目业务相似性和预警体系的结合不足</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Microsoft YaHei" w:eastAsia="Microsoft YaHei" w:hAnsi="Microsoft YaHei"/>
                <w:b w:val="0"/>
                <w:sz w:val="17"/>
              </w:rPr>
              <w:t>大语言模型分析</w:t>
            </w:r>
          </w:p>
        </w:tc>
        <w:tc>
          <w:tcPr>
            <w:tcW w:w="2351" w:type="dxa"/>
            <w:vAlign w:val="center"/>
          </w:tcPr>
          <w:p>
            <w:pPr>
              <w:spacing w:after="0" w:line="240" w:lineRule="auto"/>
            </w:pPr>
            <w:r>
              <w:rPr>
                <w:rFonts w:ascii="Microsoft YaHei" w:eastAsia="Microsoft YaHei" w:hAnsi="Microsoft YaHei"/>
                <w:b w:val="0"/>
                <w:sz w:val="17"/>
              </w:rPr>
              <w:t>操作码序列、调用路径说明、自然语言段落</w:t>
            </w:r>
          </w:p>
        </w:tc>
        <w:tc>
          <w:tcPr>
            <w:tcW w:w="2351" w:type="dxa"/>
            <w:vAlign w:val="center"/>
          </w:tcPr>
          <w:p>
            <w:pPr>
              <w:spacing w:after="0" w:line="240" w:lineRule="auto"/>
            </w:pPr>
            <w:r>
              <w:rPr>
                <w:rFonts w:ascii="Microsoft YaHei" w:eastAsia="Microsoft YaHei" w:hAnsi="Microsoft YaHei"/>
                <w:b w:val="0"/>
                <w:sz w:val="17"/>
              </w:rPr>
              <w:t>Prompt设计、领域微调、LoRA</w:t>
            </w:r>
          </w:p>
        </w:tc>
        <w:tc>
          <w:tcPr>
            <w:tcW w:w="2351" w:type="dxa"/>
            <w:vAlign w:val="center"/>
          </w:tcPr>
          <w:p>
            <w:pPr>
              <w:spacing w:after="0" w:line="240" w:lineRule="auto"/>
            </w:pPr>
            <w:r>
              <w:rPr>
                <w:rFonts w:ascii="Microsoft YaHei" w:eastAsia="Microsoft YaHei" w:hAnsi="Microsoft YaHei"/>
                <w:b w:val="0"/>
                <w:sz w:val="17"/>
              </w:rPr>
              <w:t>具备复杂执行语义理解潜力，但需要领域化预处理和项目语境结合</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351" w:type="dxa"/>
            <w:vAlign w:val="center"/>
          </w:tcPr>
          <w:p>
            <w:pPr>
              <w:spacing w:after="0" w:line="240" w:lineRule="auto"/>
            </w:pPr>
            <w:r>
              <w:rPr>
                <w:rFonts w:ascii="Microsoft YaHei" w:eastAsia="Microsoft YaHei" w:hAnsi="Microsoft YaHei"/>
                <w:b w:val="0"/>
                <w:sz w:val="17"/>
              </w:rPr>
              <w:t>项目级威胁预警</w:t>
            </w:r>
          </w:p>
        </w:tc>
        <w:tc>
          <w:tcPr>
            <w:tcW w:w="2351" w:type="dxa"/>
            <w:vAlign w:val="center"/>
          </w:tcPr>
          <w:p>
            <w:pPr>
              <w:spacing w:after="0" w:line="240" w:lineRule="auto"/>
            </w:pPr>
            <w:r>
              <w:rPr>
                <w:rFonts w:ascii="Microsoft YaHei" w:eastAsia="Microsoft YaHei" w:hAnsi="Microsoft YaHei"/>
                <w:b w:val="0"/>
                <w:sz w:val="17"/>
              </w:rPr>
              <w:t>项目类型、相似项目集合、风险传播可能性</w:t>
            </w:r>
          </w:p>
        </w:tc>
        <w:tc>
          <w:tcPr>
            <w:tcW w:w="2351" w:type="dxa"/>
            <w:vAlign w:val="center"/>
          </w:tcPr>
          <w:p>
            <w:pPr>
              <w:spacing w:after="0" w:line="240" w:lineRule="auto"/>
            </w:pPr>
            <w:r>
              <w:rPr>
                <w:rFonts w:ascii="Microsoft YaHei" w:eastAsia="Microsoft YaHei" w:hAnsi="Microsoft YaHei"/>
                <w:b w:val="0"/>
                <w:sz w:val="17"/>
              </w:rPr>
              <w:t>威胁情报、相似度预警、自动通知</w:t>
            </w:r>
          </w:p>
        </w:tc>
        <w:tc>
          <w:tcPr>
            <w:tcW w:w="2351" w:type="dxa"/>
            <w:vAlign w:val="center"/>
          </w:tcPr>
          <w:p>
            <w:pPr>
              <w:spacing w:after="0" w:line="240" w:lineRule="auto"/>
            </w:pPr>
            <w:r>
              <w:rPr>
                <w:rFonts w:ascii="Microsoft YaHei" w:eastAsia="Microsoft YaHei" w:hAnsi="Microsoft YaHei"/>
                <w:b w:val="0"/>
                <w:sz w:val="17"/>
              </w:rPr>
              <w:t>对实际安全响应具有重要意义，但现有研究中检测后的主动联动预警仍较有限</w:t>
            </w:r>
          </w:p>
        </w:tc>
      </w:tr>
    </w:tbl>
    <w:p/>
    <w:p>
      <w:pPr>
        <w:pStyle w:val="Heading2"/>
      </w:pPr>
      <w:r>
        <w:rPr>
          <w:rFonts w:ascii="Microsoft YaHei" w:eastAsia="Microsoft YaHei" w:hAnsi="Microsoft YaHei"/>
          <w:b/>
          <w:sz w:val="24"/>
        </w:rPr>
        <w:t>2.2 基于漏洞检测与静态分析的研究</w:t>
      </w:r>
    </w:p>
    <w:p>
      <w:pPr>
        <w:ind w:firstLine="425"/>
        <w:spacing w:after="120" w:line="324" w:lineRule="auto"/>
      </w:pPr>
      <w:r>
        <w:rPr>
          <w:rFonts w:ascii="Microsoft YaHei" w:eastAsia="Microsoft YaHei" w:hAnsi="Microsoft YaHei"/>
          <w:b w:val="0"/>
          <w:sz w:val="21"/>
        </w:rPr>
        <w:t>漏洞检测与静态分析研究主要分析智能合约源代码、操作码、控制流和数据流，以识别已知漏洞模式。该类研究能够较系统地发现合约代码中的结构性缺陷，但许多方法依赖源代码公开或预定义漏洞模式。</w:t>
      </w:r>
    </w:p>
    <w:p>
      <w:pPr>
        <w:ind w:firstLine="425"/>
        <w:spacing w:after="120" w:line="324" w:lineRule="auto"/>
      </w:pPr>
      <w:r>
        <w:rPr>
          <w:rFonts w:ascii="Microsoft YaHei" w:eastAsia="Microsoft YaHei" w:hAnsi="Microsoft YaHei"/>
          <w:b w:val="0"/>
          <w:sz w:val="21"/>
        </w:rPr>
        <w:t>业务逻辑漏洞往往不是由单一函数或单条语句错误造成，而是调用顺序、状态变化、外部价格引用和流动性迁移等因素共同作用的结果。因此，项目级恶意交易检测仍需要结合运行时行为和业务上下文。</w:t>
      </w:r>
    </w:p>
    <w:p>
      <w:pPr>
        <w:pStyle w:val="Heading2"/>
      </w:pPr>
      <w:r>
        <w:rPr>
          <w:rFonts w:ascii="Microsoft YaHei" w:eastAsia="Microsoft YaHei" w:hAnsi="Microsoft YaHei"/>
          <w:b/>
          <w:sz w:val="24"/>
        </w:rPr>
        <w:t>2.3 基于形式化验证与模糊测试的研究</w:t>
      </w:r>
    </w:p>
    <w:p>
      <w:pPr>
        <w:ind w:firstLine="425"/>
        <w:spacing w:after="120" w:line="324" w:lineRule="auto"/>
      </w:pPr>
      <w:r>
        <w:rPr>
          <w:rFonts w:ascii="Microsoft YaHei" w:eastAsia="Microsoft YaHei" w:hAnsi="Microsoft YaHei"/>
          <w:b w:val="0"/>
          <w:sz w:val="21"/>
        </w:rPr>
        <w:t>形式化验证与模糊测试研究关注智能合约可执行路径的系统性探索，并检查预先定义的属性或不变条件是否被破坏。该类研究能够自动探索人工审计中容易遗漏的边界条件和异常执行路径。</w:t>
      </w:r>
    </w:p>
    <w:p>
      <w:pPr>
        <w:ind w:firstLine="425"/>
        <w:spacing w:after="120" w:line="324" w:lineRule="auto"/>
      </w:pPr>
      <w:r>
        <w:rPr>
          <w:rFonts w:ascii="Microsoft YaHei" w:eastAsia="Microsoft YaHei" w:hAnsi="Microsoft YaHei"/>
          <w:b w:val="0"/>
          <w:sz w:val="21"/>
        </w:rPr>
        <w:t>但在真实项目环境中，多个合约通常与外部协议连接，状态空间会迅速扩大。此外，模糊测试发现的异常路径是否真正构成业务层面的恶意行为，仍需要进一步解释。</w:t>
      </w:r>
    </w:p>
    <w:p>
      <w:pPr>
        <w:pStyle w:val="Heading2"/>
      </w:pPr>
      <w:r>
        <w:rPr>
          <w:rFonts w:ascii="Microsoft YaHei" w:eastAsia="Microsoft YaHei" w:hAnsi="Microsoft YaHei"/>
          <w:b/>
          <w:sz w:val="24"/>
        </w:rPr>
        <w:t>2.4 基于交易行为的异常检测与动态分析研究</w:t>
      </w:r>
    </w:p>
    <w:p>
      <w:pPr>
        <w:ind w:firstLine="425"/>
        <w:spacing w:after="120" w:line="324" w:lineRule="auto"/>
      </w:pPr>
      <w:r>
        <w:rPr>
          <w:rFonts w:ascii="Microsoft YaHei" w:eastAsia="Microsoft YaHei" w:hAnsi="Microsoft YaHei"/>
          <w:b w:val="0"/>
          <w:sz w:val="21"/>
        </w:rPr>
        <w:t>基于交易行为的动态分析研究利用真实区块链交易、内部调用、事件日志和状态变化识别异常行为。交易调用路径和状态变化是识别闪电贷攻击、价格操纵和重入攻击的重要线索。</w:t>
      </w:r>
    </w:p>
    <w:p>
      <w:pPr>
        <w:ind w:firstLine="425"/>
        <w:spacing w:after="120" w:line="324" w:lineRule="auto"/>
      </w:pPr>
      <w:r>
        <w:rPr>
          <w:rFonts w:ascii="Microsoft YaHei" w:eastAsia="Microsoft YaHei" w:hAnsi="Microsoft YaHei"/>
          <w:b w:val="0"/>
          <w:sz w:val="21"/>
        </w:rPr>
        <w:t>然而，现有研究中的一部分仍停留在单笔交易或单合约级别，难以同时考虑项目内部多合约关系、外部协议交互过程和相似项目主动预警。</w:t>
      </w:r>
    </w:p>
    <w:p>
      <w:pPr>
        <w:pStyle w:val="Heading2"/>
      </w:pPr>
      <w:r>
        <w:rPr>
          <w:rFonts w:ascii="Microsoft YaHei" w:eastAsia="Microsoft YaHei" w:hAnsi="Microsoft YaHei"/>
          <w:b/>
          <w:sz w:val="24"/>
        </w:rPr>
        <w:t>2.5 基于图神经网络的智能合约安全研究</w:t>
      </w:r>
    </w:p>
    <w:p>
      <w:pPr>
        <w:ind w:firstLine="425"/>
        <w:spacing w:after="120" w:line="324" w:lineRule="auto"/>
      </w:pPr>
      <w:r>
        <w:rPr>
          <w:rFonts w:ascii="Microsoft YaHei" w:eastAsia="Microsoft YaHei" w:hAnsi="Microsoft YaHei"/>
          <w:b w:val="0"/>
          <w:sz w:val="21"/>
        </w:rPr>
        <w:t>图神经网络研究将智能合约结构关系表示为图，并通过学习节点和边的特征检测漏洞或异常。图表示比单纯序列表示更适合描述项目结构。</w:t>
      </w:r>
    </w:p>
    <w:p>
      <w:pPr>
        <w:ind w:firstLine="425"/>
        <w:spacing w:after="120" w:line="324" w:lineRule="auto"/>
      </w:pPr>
      <w:r>
        <w:rPr>
          <w:rFonts w:ascii="Microsoft YaHei" w:eastAsia="Microsoft YaHei" w:hAnsi="Microsoft YaHei"/>
          <w:b w:val="0"/>
          <w:sz w:val="21"/>
        </w:rPr>
        <w:t>本文认为项目重复交易中稳定出现的调用关系能够反映核心业务逻辑，因此将其抽取为业务主干图，并利用图神经网络识别项目类型和相似性。</w:t>
      </w:r>
    </w:p>
    <w:p>
      <w:pPr>
        <w:pStyle w:val="Heading2"/>
      </w:pPr>
      <w:r>
        <w:rPr>
          <w:rFonts w:ascii="Microsoft YaHei" w:eastAsia="Microsoft YaHei" w:hAnsi="Microsoft YaHei"/>
          <w:b/>
          <w:sz w:val="24"/>
        </w:rPr>
        <w:t>2.6 基于大语言模型与操作码语义分析的研究</w:t>
      </w:r>
    </w:p>
    <w:p>
      <w:pPr>
        <w:ind w:firstLine="425"/>
        <w:spacing w:after="120" w:line="324" w:lineRule="auto"/>
      </w:pPr>
      <w:r>
        <w:rPr>
          <w:rFonts w:ascii="Microsoft YaHei" w:eastAsia="Microsoft YaHei" w:hAnsi="Microsoft YaHei"/>
          <w:b w:val="0"/>
          <w:sz w:val="21"/>
        </w:rPr>
        <w:t>大语言模型具有长上下文理解、语义推理和复杂模式归纳能力，为分析复杂交易执行过程提供了新的可能性。若交易字节码和调用路径被转换为自然语言描述，模型可以更好地理解函数关系、调用顺序和状态变化。</w:t>
      </w:r>
    </w:p>
    <w:p>
      <w:pPr>
        <w:ind w:firstLine="425"/>
        <w:spacing w:after="120" w:line="324" w:lineRule="auto"/>
      </w:pPr>
      <w:r>
        <w:rPr>
          <w:rFonts w:ascii="Microsoft YaHei" w:eastAsia="Microsoft YaHei" w:hAnsi="Microsoft YaHei"/>
          <w:b w:val="0"/>
          <w:sz w:val="21"/>
        </w:rPr>
        <w:t>本文通过调用树恢复、自然语言段落生成、图结构关键对象筛选和自注意力重要函数序列增强，将交易执行过程转换为模型更易理解的形式，并通过LoRA微调增强领域判断能力。</w:t>
      </w:r>
    </w:p>
    <w:p>
      <w:pPr>
        <w:pStyle w:val="Heading2"/>
      </w:pPr>
      <w:r>
        <w:rPr>
          <w:rFonts w:ascii="Microsoft YaHei" w:eastAsia="Microsoft YaHei" w:hAnsi="Microsoft YaHei"/>
          <w:b/>
          <w:sz w:val="24"/>
        </w:rPr>
        <w:t>2.7 项目级安全管理与威胁预警研究</w:t>
      </w:r>
    </w:p>
    <w:p>
      <w:pPr>
        <w:ind w:firstLine="425"/>
        <w:spacing w:after="120" w:line="324" w:lineRule="auto"/>
      </w:pPr>
      <w:r>
        <w:rPr>
          <w:rFonts w:ascii="Microsoft YaHei" w:eastAsia="Microsoft YaHei" w:hAnsi="Microsoft YaHei"/>
          <w:b w:val="0"/>
          <w:sz w:val="21"/>
        </w:rPr>
        <w:t>智能合约项目之间经常存在开源代码复用、相似代币经济结构、相似流动性管理方式以及相似价格计算逻辑。因此，一个项目遭受攻击后，业务逻辑相似的其他项目也可能面临类似风险。</w:t>
      </w:r>
    </w:p>
    <w:p>
      <w:pPr>
        <w:ind w:firstLine="425"/>
        <w:spacing w:after="120" w:line="324" w:lineRule="auto"/>
      </w:pPr>
      <w:r>
        <w:rPr>
          <w:rFonts w:ascii="Microsoft YaHei" w:eastAsia="Microsoft YaHei" w:hAnsi="Microsoft YaHei"/>
          <w:b w:val="0"/>
          <w:sz w:val="21"/>
        </w:rPr>
        <w:t>本文整合业务相似性识别结果与恶意交易检测结果，当某一项目中检测到恶意交易时，系统不仅向当前项目发出警告，还可以向相似业务项目集合传递风险信息。</w:t>
      </w:r>
    </w:p>
    <w:p>
      <w:pPr>
        <w:jc w:val="center"/>
      </w:pPr>
      <w:r>
        <w:drawing>
          <wp:inline distT="0" distB="0" distL="0" distR="0">
            <wp:extent cx="5852160" cy="2662072"/>
            <wp:effectExtent l="0" t="0" r="0" b="0"/>
            <wp:docPr id="1030" name="shape1030"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6">
                      <a:extLst>
                        <a:ext uri="{28A0092B-C50C-407E-A947-70E740481C1C}">
                          <a14:useLocalDpi xmlns:a14="http://schemas.microsoft.com/office/drawing/2010/main" val="0"/>
                        </a:ext>
                      </a:extLst>
                    </a:blip>
                    <a:srcRect/>
                    <a:stretch>
                      <a:fillRect/>
                    </a:stretch>
                  </pic:blipFill>
                  <pic:spPr>
                    <a:xfrm>
                      <a:off x="0" y="0"/>
                      <a:ext cx="5852160" cy="2662072"/>
                    </a:xfrm>
                    <a:prstGeom prst="rect"/>
                  </pic:spPr>
                </pic:pic>
              </a:graphicData>
            </a:graphic>
          </wp:inline>
        </w:drawing>
      </w:r>
    </w:p>
    <w:p>
      <w:pPr>
        <w:jc w:val="center"/>
      </w:pPr>
      <w:r>
        <w:rPr>
          <w:rFonts w:ascii="Microsoft YaHei" w:eastAsia="Microsoft YaHei" w:hAnsi="Microsoft YaHei"/>
          <w:b/>
          <w:sz w:val="19"/>
        </w:rPr>
        <w:t>图2-2 AIB2PSec概念框架</w:t>
      </w:r>
    </w:p>
    <w:p>
      <w:pPr>
        <w:pStyle w:val="Heading2"/>
      </w:pPr>
      <w:r>
        <w:rPr>
          <w:rFonts w:ascii="Microsoft YaHei" w:eastAsia="Microsoft YaHei" w:hAnsi="Microsoft YaHei"/>
          <w:b/>
          <w:sz w:val="24"/>
        </w:rPr>
        <w:t>2.8 研究趋势综合与现有研究的共同局限</w:t>
      </w:r>
    </w:p>
    <w:p>
      <w:pPr>
        <w:ind w:firstLine="425"/>
        <w:spacing w:after="120" w:line="324" w:lineRule="auto"/>
      </w:pPr>
      <w:r>
        <w:rPr>
          <w:rFonts w:ascii="Microsoft YaHei" w:eastAsia="Microsoft YaHei" w:hAnsi="Microsoft YaHei"/>
          <w:b w:val="0"/>
          <w:sz w:val="21"/>
        </w:rPr>
        <w:t>总体来看，智能合约安全研究正在从代码层面的漏洞检测逐步扩展到交易执行行为分析、图结构学习以及大语言模型语义分析。但现有研究仍存在分析粒度受限、源代码依赖、业务逻辑攻击解释不足、模型泛化能力有限和检测后响应不足等共同问题。</w:t>
      </w:r>
    </w:p>
    <w:p>
      <w:pPr>
        <w:jc w:val="center"/>
      </w:pPr>
      <w:r>
        <w:rPr>
          <w:rFonts w:ascii="Microsoft YaHei" w:eastAsia="Microsoft YaHei" w:hAnsi="Microsoft YaHei"/>
          <w:b/>
          <w:sz w:val="19"/>
        </w:rPr>
        <w:t>表2-2 现有研究共同局限与本文应对方向</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jc w:val="center"/>
        <w:tblLayout w:type="autofit"/>
        <w:tblCellMar>
          <w:top w:w="0" w:type="dxa"/>
          <w:left w:w="108" w:type="dxa"/>
          <w:bottom w:w="0" w:type="dxa"/>
          <w:right w:w="108" w:type="dxa"/>
        </w:tblCellMar>
      </w:tblPr>
      <w:tblGrid>
        <w:gridCol w:w="3135"/>
        <w:gridCol w:w="3135"/>
        <w:gridCol w:w="3135"/>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shd w:val="clear" w:color="auto" w:fill="D9EAF7"/>
            <w:vAlign w:val="center"/>
          </w:tcPr>
          <w:p>
            <w:pPr>
              <w:jc w:val="center"/>
              <w:spacing w:after="0" w:line="240" w:lineRule="auto"/>
            </w:pPr>
            <w:r>
              <w:rPr>
                <w:rFonts w:ascii="Microsoft YaHei" w:eastAsia="Microsoft YaHei" w:hAnsi="Microsoft YaHei"/>
                <w:b/>
                <w:sz w:val="18"/>
              </w:rPr>
              <w:t>共同局限</w:t>
            </w:r>
          </w:p>
        </w:tc>
        <w:tc>
          <w:tcPr>
            <w:tcW w:w="3135" w:type="dxa"/>
            <w:shd w:val="clear" w:color="auto" w:fill="D9EAF7"/>
            <w:vAlign w:val="center"/>
          </w:tcPr>
          <w:p>
            <w:pPr>
              <w:jc w:val="center"/>
              <w:spacing w:after="0" w:line="240" w:lineRule="auto"/>
            </w:pPr>
            <w:r>
              <w:rPr>
                <w:rFonts w:ascii="Microsoft YaHei" w:eastAsia="Microsoft YaHei" w:hAnsi="Microsoft YaHei"/>
                <w:b/>
                <w:sz w:val="18"/>
              </w:rPr>
              <w:t>具体内容</w:t>
            </w:r>
          </w:p>
        </w:tc>
        <w:tc>
          <w:tcPr>
            <w:tcW w:w="3135" w:type="dxa"/>
            <w:shd w:val="clear" w:color="auto" w:fill="D9EAF7"/>
            <w:vAlign w:val="center"/>
          </w:tcPr>
          <w:p>
            <w:pPr>
              <w:jc w:val="center"/>
              <w:spacing w:after="0" w:line="240" w:lineRule="auto"/>
            </w:pPr>
            <w:r>
              <w:rPr>
                <w:rFonts w:ascii="Microsoft YaHei" w:eastAsia="Microsoft YaHei" w:hAnsi="Microsoft YaHei"/>
                <w:b/>
                <w:sz w:val="18"/>
              </w:rPr>
              <w:t>本文应对方向</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Microsoft YaHei" w:eastAsia="Microsoft YaHei" w:hAnsi="Microsoft YaHei"/>
                <w:b w:val="0"/>
                <w:sz w:val="17"/>
              </w:rPr>
              <w:t>分析粒度受限</w:t>
            </w:r>
          </w:p>
        </w:tc>
        <w:tc>
          <w:tcPr>
            <w:tcW w:w="3135" w:type="dxa"/>
            <w:vAlign w:val="center"/>
          </w:tcPr>
          <w:p>
            <w:pPr>
              <w:spacing w:after="0" w:line="240" w:lineRule="auto"/>
            </w:pPr>
            <w:r>
              <w:rPr>
                <w:rFonts w:ascii="Microsoft YaHei" w:eastAsia="Microsoft YaHei" w:hAnsi="Microsoft YaHei"/>
                <w:b w:val="0"/>
                <w:sz w:val="17"/>
              </w:rPr>
              <w:t>现有研究多以单合约或单笔交易为中心，难以充分反映项目内部多合约协作结构</w:t>
            </w:r>
          </w:p>
        </w:tc>
        <w:tc>
          <w:tcPr>
            <w:tcW w:w="3135" w:type="dxa"/>
            <w:vAlign w:val="center"/>
          </w:tcPr>
          <w:p>
            <w:pPr>
              <w:spacing w:after="0" w:line="240" w:lineRule="auto"/>
            </w:pPr>
            <w:r>
              <w:rPr>
                <w:rFonts w:ascii="Microsoft YaHei" w:eastAsia="Microsoft YaHei" w:hAnsi="Microsoft YaHei"/>
                <w:b w:val="0"/>
                <w:sz w:val="17"/>
              </w:rPr>
              <w:t>基于项目历史交易与内部调用关系构建业务逻辑主干图</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Microsoft YaHei" w:eastAsia="Microsoft YaHei" w:hAnsi="Microsoft YaHei"/>
                <w:b w:val="0"/>
                <w:sz w:val="17"/>
              </w:rPr>
              <w:t>源代码依赖性</w:t>
            </w:r>
          </w:p>
        </w:tc>
        <w:tc>
          <w:tcPr>
            <w:tcW w:w="3135" w:type="dxa"/>
            <w:vAlign w:val="center"/>
          </w:tcPr>
          <w:p>
            <w:pPr>
              <w:spacing w:after="0" w:line="240" w:lineRule="auto"/>
            </w:pPr>
            <w:r>
              <w:rPr>
                <w:rFonts w:ascii="Microsoft YaHei" w:eastAsia="Microsoft YaHei" w:hAnsi="Microsoft YaHei"/>
                <w:b w:val="0"/>
                <w:sz w:val="17"/>
              </w:rPr>
              <w:t>在源代码未公开项目、代理合约结构或外部库连接结构中，静态分析方法适用性可能下降</w:t>
            </w:r>
          </w:p>
        </w:tc>
        <w:tc>
          <w:tcPr>
            <w:tcW w:w="3135" w:type="dxa"/>
            <w:vAlign w:val="center"/>
          </w:tcPr>
          <w:p>
            <w:pPr>
              <w:spacing w:after="0" w:line="240" w:lineRule="auto"/>
            </w:pPr>
            <w:r>
              <w:rPr>
                <w:rFonts w:ascii="Microsoft YaHei" w:eastAsia="Microsoft YaHei" w:hAnsi="Microsoft YaHei"/>
                <w:b w:val="0"/>
                <w:sz w:val="17"/>
              </w:rPr>
              <w:t>综合利用链上交易、内部调用与字节码执行信息</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Microsoft YaHei" w:eastAsia="Microsoft YaHei" w:hAnsi="Microsoft YaHei"/>
                <w:b w:val="0"/>
                <w:sz w:val="17"/>
              </w:rPr>
              <w:t>业务逻辑攻击解释不足</w:t>
            </w:r>
          </w:p>
        </w:tc>
        <w:tc>
          <w:tcPr>
            <w:tcW w:w="3135" w:type="dxa"/>
            <w:vAlign w:val="center"/>
          </w:tcPr>
          <w:p>
            <w:pPr>
              <w:spacing w:after="0" w:line="240" w:lineRule="auto"/>
            </w:pPr>
            <w:r>
              <w:rPr>
                <w:rFonts w:ascii="Microsoft YaHei" w:eastAsia="Microsoft YaHei" w:hAnsi="Microsoft YaHei"/>
                <w:b w:val="0"/>
                <w:sz w:val="17"/>
              </w:rPr>
              <w:t>价格操纵、闪电贷和跨合约调用攻击往往难以仅通过代码缺陷解释</w:t>
            </w:r>
          </w:p>
        </w:tc>
        <w:tc>
          <w:tcPr>
            <w:tcW w:w="3135" w:type="dxa"/>
            <w:vAlign w:val="center"/>
          </w:tcPr>
          <w:p>
            <w:pPr>
              <w:spacing w:after="0" w:line="240" w:lineRule="auto"/>
            </w:pPr>
            <w:r>
              <w:rPr>
                <w:rFonts w:ascii="Microsoft YaHei" w:eastAsia="Microsoft YaHei" w:hAnsi="Microsoft YaHei"/>
                <w:b w:val="0"/>
                <w:sz w:val="17"/>
              </w:rPr>
              <w:t>通过调用树恢复与自然语言段落生成重构交易执行语义</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Microsoft YaHei" w:eastAsia="Microsoft YaHei" w:hAnsi="Microsoft YaHei"/>
                <w:b w:val="0"/>
                <w:sz w:val="17"/>
              </w:rPr>
              <w:t>模型泛化能力不足</w:t>
            </w:r>
          </w:p>
        </w:tc>
        <w:tc>
          <w:tcPr>
            <w:tcW w:w="3135" w:type="dxa"/>
            <w:vAlign w:val="center"/>
          </w:tcPr>
          <w:p>
            <w:pPr>
              <w:spacing w:after="0" w:line="240" w:lineRule="auto"/>
            </w:pPr>
            <w:r>
              <w:rPr>
                <w:rFonts w:ascii="Microsoft YaHei" w:eastAsia="Microsoft YaHei" w:hAnsi="Microsoft YaHei"/>
                <w:b w:val="0"/>
                <w:sz w:val="17"/>
              </w:rPr>
              <w:t>针对特定漏洞或特定项目优化的模型，难以扩展到相似但业务结构不同的项目</w:t>
            </w:r>
          </w:p>
        </w:tc>
        <w:tc>
          <w:tcPr>
            <w:tcW w:w="3135" w:type="dxa"/>
            <w:vAlign w:val="center"/>
          </w:tcPr>
          <w:p>
            <w:pPr>
              <w:spacing w:after="0" w:line="240" w:lineRule="auto"/>
            </w:pPr>
            <w:r>
              <w:rPr>
                <w:rFonts w:ascii="Microsoft YaHei" w:eastAsia="Microsoft YaHei" w:hAnsi="Microsoft YaHei"/>
                <w:b w:val="0"/>
                <w:sz w:val="17"/>
              </w:rPr>
              <w:t>将项目相似性识别结果与恶意交易检测联动</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135" w:type="dxa"/>
            <w:vAlign w:val="center"/>
          </w:tcPr>
          <w:p>
            <w:pPr>
              <w:spacing w:after="0" w:line="240" w:lineRule="auto"/>
            </w:pPr>
            <w:r>
              <w:rPr>
                <w:rFonts w:ascii="Microsoft YaHei" w:eastAsia="Microsoft YaHei" w:hAnsi="Microsoft YaHei"/>
                <w:b w:val="0"/>
                <w:sz w:val="17"/>
              </w:rPr>
              <w:t>检测后响应不足</w:t>
            </w:r>
          </w:p>
        </w:tc>
        <w:tc>
          <w:tcPr>
            <w:tcW w:w="3135" w:type="dxa"/>
            <w:vAlign w:val="center"/>
          </w:tcPr>
          <w:p>
            <w:pPr>
              <w:spacing w:after="0" w:line="240" w:lineRule="auto"/>
            </w:pPr>
            <w:r>
              <w:rPr>
                <w:rFonts w:ascii="Microsoft YaHei" w:eastAsia="Microsoft YaHei" w:hAnsi="Microsoft YaHei"/>
                <w:b w:val="0"/>
                <w:sz w:val="17"/>
              </w:rPr>
              <w:t>恶意交易被检测后，缺少向相似项目传递风险的主动预警机制</w:t>
            </w:r>
          </w:p>
        </w:tc>
        <w:tc>
          <w:tcPr>
            <w:tcW w:w="3135" w:type="dxa"/>
            <w:vAlign w:val="center"/>
          </w:tcPr>
          <w:p>
            <w:pPr>
              <w:spacing w:after="0" w:line="240" w:lineRule="auto"/>
            </w:pPr>
            <w:r>
              <w:rPr>
                <w:rFonts w:ascii="Microsoft YaHei" w:eastAsia="Microsoft YaHei" w:hAnsi="Microsoft YaHei"/>
                <w:b w:val="0"/>
                <w:sz w:val="17"/>
              </w:rPr>
              <w:t>设计面向相似业务项目集合的风险信息联动预警结构</w:t>
            </w:r>
          </w:p>
        </w:tc>
      </w:tr>
    </w:tbl>
    <w:p/>
    <w:p>
      <w:pPr>
        <w:jc w:val="center"/>
      </w:pPr>
      <w:r>
        <w:drawing>
          <wp:inline distT="0" distB="0" distL="0" distR="0">
            <wp:extent cx="5852160" cy="2277062"/>
            <wp:effectExtent l="0" t="0" r="0" b="0"/>
            <wp:docPr id="1031" name="shape10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7">
                      <a:extLst>
                        <a:ext uri="{28A0092B-C50C-407E-A947-70E740481C1C}">
                          <a14:useLocalDpi xmlns:a14="http://schemas.microsoft.com/office/drawing/2010/main" val="0"/>
                        </a:ext>
                      </a:extLst>
                    </a:blip>
                    <a:srcRect/>
                    <a:stretch>
                      <a:fillRect/>
                    </a:stretch>
                  </pic:blipFill>
                  <pic:spPr>
                    <a:xfrm>
                      <a:off x="0" y="0"/>
                      <a:ext cx="5852160" cy="2277062"/>
                    </a:xfrm>
                    <a:prstGeom prst="rect"/>
                  </pic:spPr>
                </pic:pic>
              </a:graphicData>
            </a:graphic>
          </wp:inline>
        </w:drawing>
      </w:r>
    </w:p>
    <w:p>
      <w:pPr>
        <w:jc w:val="center"/>
      </w:pPr>
      <w:r>
        <w:rPr>
          <w:rFonts w:ascii="Microsoft YaHei" w:eastAsia="Microsoft YaHei" w:hAnsi="Microsoft YaHei"/>
          <w:b/>
          <w:sz w:val="19"/>
        </w:rPr>
        <w:t>图2-3 现有研究局限与本文应对方向关系图</w:t>
      </w:r>
    </w:p>
    <w:p>
      <w:pPr>
        <w:jc w:val="center"/>
      </w:pPr>
      <w:r>
        <w:drawing>
          <wp:inline distT="0" distB="0" distL="0" distR="0">
            <wp:extent cx="5303520" cy="2604736"/>
            <wp:effectExtent l="0" t="0" r="0" b="0"/>
            <wp:docPr id="1032" name="shape1032"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8">
                      <a:extLst>
                        <a:ext uri="{28A0092B-C50C-407E-A947-70E740481C1C}">
                          <a14:useLocalDpi xmlns:a14="http://schemas.microsoft.com/office/drawing/2010/main" val="0"/>
                        </a:ext>
                      </a:extLst>
                    </a:blip>
                    <a:srcRect/>
                    <a:stretch>
                      <a:fillRect/>
                    </a:stretch>
                  </pic:blipFill>
                  <pic:spPr>
                    <a:xfrm>
                      <a:off x="0" y="0"/>
                      <a:ext cx="5303520" cy="2604736"/>
                    </a:xfrm>
                    <a:prstGeom prst="rect"/>
                  </pic:spPr>
                </pic:pic>
              </a:graphicData>
            </a:graphic>
          </wp:inline>
        </w:drawing>
      </w:r>
    </w:p>
    <w:p>
      <w:pPr>
        <w:jc w:val="center"/>
      </w:pPr>
      <w:r>
        <w:rPr>
          <w:rFonts w:ascii="Microsoft YaHei" w:eastAsia="Microsoft YaHei" w:hAnsi="Microsoft YaHei"/>
          <w:b/>
          <w:sz w:val="19"/>
        </w:rPr>
        <w:t>图2-4 研究群与本文相关性及研究成熟度比较</w:t>
      </w:r>
    </w:p>
    <w:p>
      <w:pPr>
        <w:pStyle w:val="Heading2"/>
      </w:pPr>
      <w:r>
        <w:rPr>
          <w:rFonts w:ascii="Microsoft YaHei" w:eastAsia="Microsoft YaHei" w:hAnsi="Microsoft YaHei"/>
          <w:b/>
          <w:sz w:val="24"/>
        </w:rPr>
        <w:t>2.9 本研究的差异性与贡献</w:t>
      </w:r>
    </w:p>
    <w:p>
      <w:pPr>
        <w:ind w:firstLine="425"/>
        <w:spacing w:after="120" w:line="324" w:lineRule="auto"/>
      </w:pPr>
      <w:r>
        <w:rPr>
          <w:rFonts w:ascii="Microsoft YaHei" w:eastAsia="Microsoft YaHei" w:hAnsi="Microsoft YaHei"/>
          <w:b w:val="0"/>
          <w:sz w:val="21"/>
        </w:rPr>
        <w:t>本文提出AIB2PSec框架，将业务逻辑提取、项目相似性识别、恶意交易检测和威胁预警整合为一个连续流程。与仅关注单个合约或单笔交易的研究不同，本文从项目级视角理解智能合约安全问题。</w:t>
      </w:r>
    </w:p>
    <w:p>
      <w:pPr>
        <w:ind w:firstLine="425"/>
        <w:spacing w:after="120" w:line="324" w:lineRule="auto"/>
      </w:pPr>
      <w:r>
        <w:rPr>
          <w:rFonts w:ascii="Microsoft YaHei" w:eastAsia="Microsoft YaHei" w:hAnsi="Microsoft YaHei"/>
          <w:b w:val="0"/>
          <w:sz w:val="21"/>
        </w:rPr>
        <w:t>本文的差异性体现在四个方面：第一，将分析粒度扩展到项目级；第二，结合图神经网络的业务相似性识别和大语言模型的恶意交易语义分析；第三，将原始字节码和调用路径转换为自然语言段落，提高模型语义理解能力；第四，将恶意行为检测结果联动到相似业务项目，实现面向实际安全防御的自动化预警。</w:t>
      </w:r>
    </w:p>
    <w:p>
      <w:pPr>
        <w:pStyle w:val="Heading2"/>
      </w:pPr>
      <w:r>
        <w:rPr>
          <w:rFonts w:ascii="Microsoft YaHei" w:eastAsia="Microsoft YaHei" w:hAnsi="Microsoft YaHei"/>
          <w:b/>
          <w:sz w:val="24"/>
        </w:rPr>
        <w:t>2.10 提交用差异性摘要段落</w:t>
      </w:r>
    </w:p>
    <w:p>
      <w:pPr>
        <w:ind w:firstLine="425"/>
        <w:spacing w:after="120" w:line="324" w:lineRule="auto"/>
      </w:pPr>
      <w:r>
        <w:rPr>
          <w:rFonts w:ascii="Microsoft YaHei" w:eastAsia="Microsoft YaHei" w:hAnsi="Microsoft YaHei"/>
          <w:b w:val="0"/>
          <w:sz w:val="21"/>
        </w:rPr>
        <w:t>本文将智能合约安全分析从单一合约代码缺陷检测扩展到项目级业务逻辑理解。为此，本文基于项目历史交易和内部调用关系构建业务逻辑主干图，并利用图神经网络识别项目类型和项目相似性。同时，本文将交易执行字节码转换为调用树和自然语言段落，强化关键调用对象与重要函数序列，再利用基于LoRA微调的大语言模型判断交易是否恶意。进一步地，本文将检测结果联动到具有相似业务逻辑的项目集合，实现从单纯漏洞检测到项目生态级自动化安全响应的扩展。</w:t>
      </w:r>
    </w:p>
    <w:p>
      <w:pPr>
        <w:pStyle w:val="Heading1"/>
        <w:jc w:val="center"/>
      </w:pPr>
      <w:r>
        <w:rPr>
          <w:rFonts w:ascii="Microsoft YaHei" w:eastAsia="Microsoft YaHei" w:hAnsi="Microsoft YaHei"/>
          <w:b/>
          <w:sz w:val="28"/>
        </w:rPr>
        <w:t>参考文献</w:t>
      </w:r>
    </w:p>
    <w:p>
      <w:pPr>
        <w:spacing w:after="120" w:line="324" w:lineRule="auto"/>
      </w:pPr>
      <w:r>
        <w:rPr>
          <w:rFonts w:ascii="Microsoft YaHei" w:eastAsia="Microsoft YaHei" w:hAnsi="Microsoft YaHei"/>
          <w:b w:val="0"/>
          <w:sz w:val="19"/>
        </w:rPr>
        <w:t>[1] Ndiaye M., Diallo T. A., Konate K. Adefguard: Anomaly detection framework based on Ethereum smart contracts behaviours. Blockchain: Research and Applications, 2023.</w:t>
      </w:r>
    </w:p>
    <w:p>
      <w:pPr>
        <w:spacing w:after="120" w:line="324" w:lineRule="auto"/>
      </w:pPr>
      <w:r>
        <w:rPr>
          <w:rFonts w:ascii="Microsoft YaHei" w:eastAsia="Microsoft YaHei" w:hAnsi="Microsoft YaHei"/>
          <w:b w:val="0"/>
          <w:sz w:val="19"/>
        </w:rPr>
        <w:t>[2] Hisham S., Makhtar M., Aziz A. A. Anomaly detection in smart contracts based on optimal relevance hybrid features analysis in the Ethereum blockchain employing ensemble learning. International Journal of Advanced Technology and Engineering Exploration, 2023.</w:t>
      </w:r>
    </w:p>
    <w:p>
      <w:pPr>
        <w:spacing w:after="120" w:line="324" w:lineRule="auto"/>
      </w:pPr>
      <w:r>
        <w:rPr>
          <w:rFonts w:ascii="Microsoft YaHei" w:eastAsia="Microsoft YaHei" w:hAnsi="Microsoft YaHei"/>
          <w:b w:val="0"/>
          <w:sz w:val="19"/>
        </w:rPr>
        <w:t>[3] Li Z. et al. SmartFast: an accurate and robust formal analysis tool for Ethereum smart contracts. Empirical Software Engineering, 2022.</w:t>
      </w:r>
    </w:p>
    <w:p>
      <w:pPr>
        <w:spacing w:after="120" w:line="324" w:lineRule="auto"/>
      </w:pPr>
      <w:r>
        <w:rPr>
          <w:rFonts w:ascii="Microsoft YaHei" w:eastAsia="Microsoft YaHei" w:hAnsi="Microsoft YaHei"/>
          <w:b w:val="0"/>
          <w:sz w:val="19"/>
        </w:rPr>
        <w:t>[4] Hu T. et al. Transaction-based classification and detection approach for Ethereum smart contract. Information Processing &amp; Management, 2021.</w:t>
      </w:r>
    </w:p>
    <w:p>
      <w:pPr>
        <w:spacing w:after="120" w:line="324" w:lineRule="auto"/>
      </w:pPr>
      <w:r>
        <w:rPr>
          <w:rFonts w:ascii="Microsoft YaHei" w:eastAsia="Microsoft YaHei" w:hAnsi="Microsoft YaHei"/>
          <w:b w:val="0"/>
          <w:sz w:val="19"/>
        </w:rPr>
        <w:t>[5] Shen X., Jiang S., Zhang L. Mining bytecode features of smart contracts to detect Ponzi scheme on blockchain. Computer Modeling in Engineering &amp; Sciences, 2021.</w:t>
      </w:r>
    </w:p>
    <w:p>
      <w:pPr>
        <w:spacing w:after="120" w:line="324" w:lineRule="auto"/>
      </w:pPr>
      <w:r>
        <w:rPr>
          <w:rFonts w:ascii="Microsoft YaHei" w:eastAsia="Microsoft YaHei" w:hAnsi="Microsoft YaHei"/>
          <w:b w:val="0"/>
          <w:sz w:val="19"/>
        </w:rPr>
        <w:t>[6] Ali A., Abideen Z. U., Ullah K. SESCon: Secure Ethereum smart contracts by vulnerable patterns detection. Security and Communication Networks, 2021.</w:t>
      </w:r>
    </w:p>
    <w:p>
      <w:pPr>
        <w:spacing w:after="120" w:line="324" w:lineRule="auto"/>
      </w:pPr>
      <w:r>
        <w:rPr>
          <w:rFonts w:ascii="Microsoft YaHei" w:eastAsia="Microsoft YaHei" w:hAnsi="Microsoft YaHei"/>
          <w:b w:val="0"/>
          <w:sz w:val="19"/>
        </w:rPr>
        <w:t>[7] Ashizawa N. et al. Eth2Vec: learning contract-wide code representations for vulnerability detection on Ethereum smart contracts. ACM BSCI, 2021.</w:t>
      </w:r>
    </w:p>
    <w:p>
      <w:pPr>
        <w:spacing w:after="120" w:line="324" w:lineRule="auto"/>
      </w:pPr>
      <w:r>
        <w:rPr>
          <w:rFonts w:ascii="Microsoft YaHei" w:eastAsia="Microsoft YaHei" w:hAnsi="Microsoft YaHei"/>
          <w:b w:val="0"/>
          <w:sz w:val="19"/>
        </w:rPr>
        <w:t>[8] Tang X. et al. Deep learning-based solution for smart contract vulnerabilities detection. Scientific Reports, 2023.</w:t>
      </w:r>
    </w:p>
    <w:p>
      <w:pPr>
        <w:spacing w:after="120" w:line="324" w:lineRule="auto"/>
      </w:pPr>
      <w:r>
        <w:rPr>
          <w:rFonts w:ascii="Microsoft YaHei" w:eastAsia="Microsoft YaHei" w:hAnsi="Microsoft YaHei"/>
          <w:b w:val="0"/>
          <w:sz w:val="19"/>
        </w:rPr>
        <w:t>[9] Duan L. et al. A new smart contract anomaly detection method by fusing opcode and source code features for blockchain services. IEEE TNSM, 2023.</w:t>
      </w:r>
    </w:p>
    <w:p>
      <w:pPr>
        <w:spacing w:after="120" w:line="324" w:lineRule="auto"/>
      </w:pPr>
      <w:r>
        <w:rPr>
          <w:rFonts w:ascii="Microsoft YaHei" w:eastAsia="Microsoft YaHei" w:hAnsi="Microsoft YaHei"/>
          <w:b w:val="0"/>
          <w:sz w:val="19"/>
        </w:rPr>
        <w:t>[10] Song A., Seo E., Kim H. Anomaly VAE-Transformer: A deep learning approach for anomaly detection in decentralized finance. IEEE Access, 2023.</w:t>
      </w:r>
    </w:p>
    <w:p>
      <w:pPr>
        <w:spacing w:after="120" w:line="324" w:lineRule="auto"/>
      </w:pPr>
      <w:r>
        <w:rPr>
          <w:rFonts w:ascii="Microsoft YaHei" w:eastAsia="Microsoft YaHei" w:hAnsi="Microsoft YaHei"/>
          <w:b w:val="0"/>
          <w:sz w:val="19"/>
        </w:rPr>
        <w:t>[11] Wu H. et al. Peculiar: Smart contract vulnerability detection based on crucial data flow graph and pre-training techniques. ISSRE, 2021.</w:t>
      </w:r>
    </w:p>
    <w:p>
      <w:pPr>
        <w:spacing w:after="120" w:line="324" w:lineRule="auto"/>
      </w:pPr>
      <w:r>
        <w:rPr>
          <w:rFonts w:ascii="Microsoft YaHei" w:eastAsia="Microsoft YaHei" w:hAnsi="Microsoft YaHei"/>
          <w:b w:val="0"/>
          <w:sz w:val="19"/>
        </w:rPr>
        <w:t>[12] Liu Z. et al. Combining graph neural networks with expert knowledge for smart contract vulnerability detection. IEEE TKDE, 2021.</w:t>
      </w:r>
    </w:p>
    <w:p>
      <w:pPr>
        <w:spacing w:after="120" w:line="324" w:lineRule="auto"/>
      </w:pPr>
      <w:r>
        <w:rPr>
          <w:rFonts w:ascii="Microsoft YaHei" w:eastAsia="Microsoft YaHei" w:hAnsi="Microsoft YaHei"/>
          <w:b w:val="0"/>
          <w:sz w:val="19"/>
        </w:rPr>
        <w:t>[13] Luo F. et al. SCVHunter: Smart contract vulnerability detection based on heterogeneous graph attention network. ICSE, 2024.</w:t>
      </w:r>
    </w:p>
    <w:p>
      <w:pPr>
        <w:spacing w:after="120" w:line="324" w:lineRule="auto"/>
      </w:pPr>
      <w:r>
        <w:rPr>
          <w:rFonts w:ascii="Microsoft YaHei" w:eastAsia="Microsoft YaHei" w:hAnsi="Microsoft YaHei"/>
          <w:b w:val="0"/>
          <w:sz w:val="19"/>
        </w:rPr>
        <w:t>[14] Aljofey A. et al. A feature-based robust method for abnormal contracts detection in Ethereum blockchain. Electronics, 2022.</w:t>
      </w:r>
    </w:p>
    <w:p>
      <w:pPr>
        <w:spacing w:after="120" w:line="324" w:lineRule="auto"/>
      </w:pPr>
      <w:r>
        <w:rPr>
          <w:rFonts w:ascii="Microsoft YaHei" w:eastAsia="Microsoft YaHei" w:hAnsi="Microsoft YaHei"/>
          <w:b w:val="0"/>
          <w:sz w:val="19"/>
        </w:rPr>
        <w:t>[15] Fadi O. et al. Smart contract anomaly detection: The Contrastive Learning Paradigm. Computer Networks, 2025.</w:t>
      </w:r>
    </w:p>
    <w:p>
      <w:pPr>
        <w:spacing w:after="120" w:line="324" w:lineRule="auto"/>
      </w:pPr>
      <w:r>
        <w:rPr>
          <w:rFonts w:ascii="Microsoft YaHei" w:eastAsia="Microsoft YaHei" w:hAnsi="Microsoft YaHei"/>
          <w:b w:val="0"/>
          <w:sz w:val="19"/>
        </w:rPr>
        <w:t>[16] Liang R. et al. Vulseye: Detect smart contract vulnerabilities via stateful directed graybox fuzzing. IEEE Transactions on Information Forensics and Security, 2025.</w:t>
      </w:r>
    </w:p>
    <w:p>
      <w:pPr>
        <w:spacing w:after="120" w:line="324" w:lineRule="auto"/>
      </w:pPr>
    </w:p>
    <w:sectPr>
      <w:pgSz w:w="12240" w:h="15840"/>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auto"/>
    <w:charset w:val="81"/>
    <w:notTrueType w:val="false"/>
    <w:sig w:usb0="9000002F" w:usb1="29D77CFB" w:usb2="00000012" w:usb3="00000001" w:csb0="00080001" w:csb1="00000001"/>
  </w:font>
  <w:font w:name="黑体">
    <w:panose1 w:val="02010609060101010101"/>
    <w:family w:val="auto"/>
    <w:charset w:val="86"/>
    <w:notTrueType w:val="false"/>
    <w:sig w:usb0="800002BF" w:usb1="38CF7CFA" w:usb2="00000016" w:usb3="00000001" w:csb0="00040001" w:csb1="00000001"/>
  </w:font>
  <w:font w:name="宋体">
    <w:panose1 w:val="02010600030101010101"/>
    <w:family w:val="auto"/>
    <w:charset w:val="86"/>
    <w:notTrueType w:val="false"/>
    <w:sig w:usb0="00000203" w:usb1="288F0000" w:usb2="00000006" w:usb3="00000001" w:csb0="00040001" w:csb1="00000001"/>
  </w:font>
  <w:font w:name="Microsoft YaHei">
    <w:panose1 w:val="020B0503020204020204"/>
    <w:charset w:val="00"/>
    <w:notTrueType w:val="false"/>
    <w:sig w:usb0="80000287" w:usb1="2ACF3C50" w:usb2="00000016" w:usb3="00000001" w:csb0="0004001F" w:csb1="00000001"/>
  </w:font>
  <w:font w:name="Courier">
    <w:panose1 w:val="02000500FFFFFFFFFFFF"/>
    <w:family w:val="auto"/>
    <w:altName w:val="Courier New"/>
    <w:charset w:val="00"/>
    <w:notTrueType w:val="false"/>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2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documentProtection w:edit="" w:enforcement="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rPr>
    </w:rPrDefault>
    <w:pPrDefault>
      <w:pPr/>
    </w:pPrDefault>
  </w:docDefaults>
  <w:style w:type="paragraph" w:default="1" w:styleId="Normal">
    <w:name w:val="Normal"/>
    <w:qFormat/>
    <w:pPr>
      <w:spacing w:after="200" w:line="276" w:lineRule="auto"/>
    </w:pPr>
    <w:rPr>
      <w:lang w:val="en-US" w:eastAsia="en-US" w:bidi="ar-SA"/>
      <w:rFonts w:ascii="맑은 고딕" w:eastAsia="맑은 고딕" w:hAnsi="맑은 고딕" w:cstheme="minorBidi"/>
      <w:sz w:val="21"/>
      <w:szCs w:val="22"/>
    </w:rPr>
  </w:style>
  <w:style w:type="character" w:default="1" w:styleId="DefaultParagraphFont">
    <w:name w:val="Default Paragraph Font"/>
    <w:qFormat/>
    <w:semiHidden/>
    <w:unhideWhenUsed/>
  </w:style>
  <w:style w:type="table" w:default="1" w:styleId="TableNormal">
    <w:name w:val="Normal Table"/>
    <w:semiHidden/>
    <w:unhideWhenUsed/>
    <w:tblPr>
      <w:tblCellMar>
        <w:top w:w="0" w:type="dxa"/>
        <w:left w:w="108" w:type="dxa"/>
        <w:bottom w:w="0" w:type="dxa"/>
        <w:right w:w="108" w:type="dxa"/>
      </w:tblCellMar>
    </w:tblPr>
  </w:style>
  <w:style w:type="numbering" w:default="1" w:styleId="NoList">
    <w:name w:val="No List"/>
    <w:semiHidden/>
    <w:unhideWhenUsed/>
  </w:style>
  <w:style w:type="paragraph" w:styleId="Heading1">
    <w:name w:val="heading 1"/>
    <w:basedOn w:val="Normal"/>
    <w:next w:val="Normal"/>
    <w:link w:val="Normal"/>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Title">
    <w:name w:val="Title"/>
    <w:basedOn w:val="Normal"/>
    <w:next w:val="Normal"/>
    <w:link w:val="Normal"/>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paragraph" w:styleId="Subtitle">
    <w:name w:val="Subtitle"/>
    <w:basedOn w:val="Normal"/>
    <w:next w:val="Normal"/>
    <w:link w:val="Normal"/>
    <w:qFormat/>
    <w:rPr>
      <w:rFonts w:asciiTheme="majorHAnsi" w:eastAsiaTheme="majorEastAsia" w:hAnsiTheme="majorHAnsi" w:cstheme="majorBidi"/>
      <w:i/>
      <w:iCs/>
      <w:color w:val="4F81BD"/>
      <w:sz w:val="24"/>
      <w:szCs w:val="24"/>
      <w:spacing w:val="15"/>
    </w:rPr>
  </w:style>
  <w:style w:type="paragraph" w:styleId="Quote">
    <w:name w:val="Quote"/>
    <w:basedOn w:val="Normal"/>
    <w:next w:val="Normal"/>
    <w:link w:val="Normal"/>
    <w:qFormat/>
    <w:rPr>
      <w:i/>
      <w:iCs/>
      <w:color w:val="000000"/>
    </w:rPr>
  </w:style>
  <w:style w:type="character" w:styleId="DefaultParagraphFont">
    <w:name w:val="Default Paragraph Font"/>
    <w:qFormat/>
    <w:semiHidden/>
    <w:unhideWhenUsed/>
  </w:style>
  <w:style w:type="paragraph" w:styleId="Heading3">
    <w:name w:val="heading 3"/>
    <w:basedOn w:val="Normal"/>
    <w:next w:val="Normal"/>
    <w:link w:val="Normal"/>
    <w:qFormat/>
    <w:unhideWhenUsed/>
    <w:pPr>
      <w:keepNext/>
      <w:keepLines/>
      <w:outlineLvl w:val="2"/>
      <w:spacing w:after="0" w:before="200"/>
    </w:pPr>
    <w:rPr>
      <w:rFonts w:asciiTheme="majorHAnsi" w:eastAsiaTheme="majorEastAsia" w:hAnsiTheme="majorHAnsi" w:cstheme="majorBidi"/>
      <w:b/>
      <w:bCs/>
      <w:color w:val="4F81BD"/>
    </w:rPr>
  </w:style>
  <w:style w:type="table" w:styleId="MediumShading1">
    <w:name w:val="Medium Shading 1"/>
    <w:basedOn w:val="TableNormal"/>
    <w:pPr>
      <w:spacing w:after="0" w:line="240" w:lineRule="auto"/>
    </w:pPr>
    <w:tblPr>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character" w:customStyle="1" w:styleId="Heading1Char">
    <w:name w:val="Heading 1 Char"/>
    <w:basedOn w:val="DefaultParagraphFont"/>
    <w:link w:val="Normal"/>
    <w:rPr>
      <w:rFonts w:asciiTheme="majorHAnsi" w:eastAsiaTheme="majorEastAsia" w:hAnsiTheme="majorHAnsi" w:cstheme="majorBidi"/>
      <w:b/>
      <w:bCs/>
      <w:color w:val="376092"/>
      <w:sz w:val="28"/>
      <w:szCs w:val="28"/>
    </w:rPr>
  </w:style>
  <w:style w:type="character" w:customStyle="1" w:styleId="Heading2Char">
    <w:name w:val="Heading 2 Char"/>
    <w:basedOn w:val="DefaultParagraphFont"/>
    <w:link w:val="Normal"/>
    <w:rPr>
      <w:rFonts w:asciiTheme="majorHAnsi" w:eastAsiaTheme="majorEastAsia" w:hAnsiTheme="majorHAnsi" w:cstheme="majorBidi"/>
      <w:b/>
      <w:bCs/>
      <w:color w:val="4F81BD"/>
      <w:sz w:val="26"/>
      <w:szCs w:val="26"/>
    </w:rPr>
  </w:style>
  <w:style w:type="paragraph" w:styleId="Heading4">
    <w:name w:val="heading 4"/>
    <w:basedOn w:val="Normal"/>
    <w:next w:val="Normal"/>
    <w:link w:val="Normal"/>
    <w:qFormat/>
    <w:semiHidden/>
    <w:unhideWhenUsed/>
    <w:pPr>
      <w:keepNext/>
      <w:keepLines/>
      <w:outlineLvl w:val="3"/>
      <w:spacing w:after="0" w:before="200"/>
    </w:pPr>
    <w:rPr>
      <w:rFonts w:asciiTheme="majorHAnsi" w:eastAsiaTheme="majorEastAsia" w:hAnsiTheme="majorHAnsi" w:cstheme="majorBidi"/>
      <w:b/>
      <w:bCs/>
      <w:i/>
      <w:iCs/>
      <w:color w:val="4F81BD"/>
    </w:rPr>
  </w:style>
  <w:style w:type="character" w:customStyle="1" w:styleId="Heading3Char">
    <w:name w:val="Heading 3 Char"/>
    <w:basedOn w:val="DefaultParagraphFont"/>
    <w:link w:val="Normal"/>
    <w:rPr>
      <w:rFonts w:asciiTheme="majorHAnsi" w:eastAsiaTheme="majorEastAsia" w:hAnsiTheme="majorHAnsi" w:cstheme="majorBidi"/>
      <w:b/>
      <w:bCs/>
      <w:color w:val="4F81BD"/>
    </w:rPr>
  </w:style>
  <w:style w:type="paragraph" w:styleId="Heading5">
    <w:name w:val="heading 5"/>
    <w:basedOn w:val="Normal"/>
    <w:next w:val="Normal"/>
    <w:link w:val="Normal"/>
    <w:qFormat/>
    <w:semiHidden/>
    <w:unhideWhenUsed/>
    <w:pPr>
      <w:keepNext/>
      <w:keepLines/>
      <w:outlineLvl w:val="4"/>
      <w:spacing w:after="0" w:before="200"/>
    </w:pPr>
    <w:rPr>
      <w:rFonts w:asciiTheme="majorHAnsi" w:eastAsiaTheme="majorEastAsia" w:hAnsiTheme="majorHAnsi" w:cstheme="majorBidi"/>
      <w:color w:val="254062"/>
    </w:rPr>
  </w:style>
  <w:style w:type="character" w:customStyle="1" w:styleId="Heading4Char">
    <w:name w:val="Heading 4 Char"/>
    <w:basedOn w:val="DefaultParagraphFont"/>
    <w:link w:val="Normal"/>
    <w:qFormat/>
    <w:semiHidden/>
    <w:rPr>
      <w:rFonts w:asciiTheme="majorHAnsi" w:eastAsiaTheme="majorEastAsia" w:hAnsiTheme="majorHAnsi" w:cstheme="majorBidi"/>
      <w:b/>
      <w:bCs/>
      <w:i/>
      <w:iCs/>
      <w:color w:val="4F81BD"/>
    </w:rPr>
  </w:style>
  <w:style w:type="character" w:customStyle="1" w:styleId="Heading5Char">
    <w:name w:val="Heading 5 Char"/>
    <w:basedOn w:val="DefaultParagraphFont"/>
    <w:link w:val="Normal"/>
    <w:semiHidden/>
    <w:rPr>
      <w:rFonts w:asciiTheme="majorHAnsi" w:eastAsiaTheme="majorEastAsia" w:hAnsiTheme="majorHAnsi" w:cstheme="majorBidi"/>
      <w:color w:val="254062"/>
    </w:rPr>
  </w:style>
  <w:style w:type="paragraph" w:styleId="Normal">
    <w:name w:val="Normal"/>
    <w:qFormat/>
    <w:pPr>
      <w:spacing w:after="200" w:line="276" w:lineRule="auto"/>
    </w:pPr>
    <w:rPr>
      <w:lang w:val="en-US" w:eastAsia="en-US" w:bidi="ar-SA"/>
      <w:rFonts w:ascii="맑은 고딕" w:eastAsia="맑은 고딕" w:hAnsi="맑은 고딕" w:cstheme="minorBidi"/>
      <w:sz w:val="21"/>
      <w:szCs w:val="22"/>
    </w:rPr>
  </w:style>
  <w:style w:type="paragraph" w:styleId="Heading2">
    <w:name w:val="heading 2"/>
    <w:basedOn w:val="Normal"/>
    <w:next w:val="Normal"/>
    <w:link w:val="Normal"/>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character" w:customStyle="1" w:styleId="Heading8Char">
    <w:name w:val="Heading 8 Char"/>
    <w:basedOn w:val="DefaultParagraphFont"/>
    <w:link w:val="Normal"/>
    <w:semiHidden/>
    <w:rPr>
      <w:rFonts w:asciiTheme="majorHAnsi" w:eastAsiaTheme="majorEastAsia" w:hAnsiTheme="majorHAnsi" w:cstheme="majorBidi"/>
      <w:color w:val="4F81BD"/>
      <w:sz w:val="20"/>
      <w:szCs w:val="20"/>
    </w:rPr>
  </w:style>
  <w:style w:type="paragraph" w:styleId="Heading7">
    <w:name w:val="heading 7"/>
    <w:basedOn w:val="Normal"/>
    <w:next w:val="Normal"/>
    <w:link w:val="Normal"/>
    <w:qFormat/>
    <w:semiHidden/>
    <w:unhideWhenUsed/>
    <w:pPr>
      <w:keepNext/>
      <w:keepLines/>
      <w:outlineLvl w:val="6"/>
      <w:spacing w:after="0" w:before="200"/>
    </w:pPr>
    <w:rPr>
      <w:rFonts w:asciiTheme="majorHAnsi" w:eastAsiaTheme="majorEastAsia" w:hAnsiTheme="majorHAnsi" w:cstheme="majorBidi"/>
      <w:i/>
      <w:iCs/>
      <w:color w:val="3F3F3F"/>
    </w:rPr>
  </w:style>
  <w:style w:type="character" w:customStyle="1" w:styleId="Heading6Char">
    <w:name w:val="Heading 6 Char"/>
    <w:basedOn w:val="DefaultParagraphFont"/>
    <w:link w:val="Normal"/>
    <w:semiHidden/>
    <w:rPr>
      <w:rFonts w:asciiTheme="majorHAnsi" w:eastAsiaTheme="majorEastAsia" w:hAnsiTheme="majorHAnsi" w:cstheme="majorBidi"/>
      <w:i/>
      <w:iCs/>
      <w:color w:val="254062"/>
    </w:rPr>
  </w:style>
  <w:style w:type="numbering" w:styleId="NoList">
    <w:name w:val="No List"/>
    <w:semiHidden/>
    <w:unhideWhenUsed/>
  </w:style>
  <w:style w:type="paragraph" w:styleId="Heading6">
    <w:name w:val="heading 6"/>
    <w:basedOn w:val="Normal"/>
    <w:next w:val="Normal"/>
    <w:link w:val="Normal"/>
    <w:qFormat/>
    <w:semiHidden/>
    <w:unhideWhenUsed/>
    <w:pPr>
      <w:keepNext/>
      <w:keepLines/>
      <w:outlineLvl w:val="5"/>
      <w:spacing w:after="0" w:before="200"/>
    </w:pPr>
    <w:rPr>
      <w:rFonts w:asciiTheme="majorHAnsi" w:eastAsiaTheme="majorEastAsia" w:hAnsiTheme="majorHAnsi" w:cstheme="majorBidi"/>
      <w:i/>
      <w:iCs/>
      <w:color w:val="254062"/>
    </w:rPr>
  </w:style>
  <w:style w:type="table" w:styleId="TableGrid">
    <w:name w:val="Table Grid"/>
    <w:basedOn w:val="TableNormal"/>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ing9">
    <w:name w:val="heading 9"/>
    <w:basedOn w:val="Normal"/>
    <w:next w:val="Normal"/>
    <w:link w:val="Normal"/>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paragraph" w:styleId="Heading8">
    <w:name w:val="heading 8"/>
    <w:basedOn w:val="Normal"/>
    <w:next w:val="Normal"/>
    <w:link w:val="Normal"/>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character" w:customStyle="1" w:styleId="Heading7Char">
    <w:name w:val="Heading 7 Char"/>
    <w:basedOn w:val="DefaultParagraphFont"/>
    <w:link w:val="Normal"/>
    <w:semiHidden/>
    <w:rPr>
      <w:rFonts w:asciiTheme="majorHAnsi" w:eastAsiaTheme="majorEastAsia" w:hAnsiTheme="majorHAnsi" w:cstheme="majorBidi"/>
      <w:i/>
      <w:iCs/>
      <w:color w:val="3F3F3F"/>
    </w:rPr>
  </w:style>
  <w:style w:type="character" w:customStyle="1" w:styleId="Heading9Char">
    <w:name w:val="Heading 9 Char"/>
    <w:basedOn w:val="DefaultParagraphFont"/>
    <w:link w:val="Normal"/>
    <w:semiHidden/>
    <w:rPr>
      <w:rFonts w:asciiTheme="majorHAnsi" w:eastAsiaTheme="majorEastAsia" w:hAnsiTheme="majorHAnsi" w:cstheme="majorBidi"/>
      <w:i/>
      <w:iCs/>
      <w:color w:val="3F3F3F"/>
      <w:sz w:val="20"/>
      <w:szCs w:val="20"/>
    </w:rPr>
  </w:style>
  <w:style w:type="table" w:styleId="TableNormal">
    <w:name w:val="Normal Table"/>
    <w:semiHidden/>
    <w:unhideWhenUsed/>
    <w:tblPr>
      <w:tblCellMar>
        <w:top w:w="0" w:type="dxa"/>
        <w:left w:w="108" w:type="dxa"/>
        <w:bottom w:w="0" w:type="dxa"/>
        <w:right w:w="108" w:type="dxa"/>
      </w:tblCellMar>
    </w:tblPr>
  </w:style>
  <w:style w:type="table" w:styleId="LightGrid-Accent4">
    <w:name w:val="Light Grid Accent 4"/>
    <w:basedOn w:val="TableNormal"/>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Shading-Accent2">
    <w:name w:val="Light Shading Accent 2"/>
    <w:basedOn w:val="TableNormal"/>
    <w:pPr>
      <w:spacing w:after="0" w:line="240" w:lineRule="auto"/>
    </w:pPr>
    <w:rPr>
      <w:color w:val="953735"/>
    </w:rPr>
    <w:tblPr>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4">
    <w:name w:val="Light Shading Accent 4"/>
    <w:basedOn w:val="TableNormal"/>
    <w:pPr>
      <w:spacing w:after="0" w:line="240" w:lineRule="auto"/>
    </w:pPr>
    <w:rPr>
      <w:color w:val="604A7B"/>
    </w:rPr>
    <w:tblPr>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
    <w:name w:val="Light List"/>
    <w:basedOn w:val="TableNormal"/>
    <w:pPr>
      <w:spacing w:after="0" w:line="240" w:lineRule="auto"/>
    </w:pPr>
    <w:tblPr>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Shading-Accent6">
    <w:name w:val="Light Shading Accent 6"/>
    <w:basedOn w:val="TableNormal"/>
    <w:pPr>
      <w:spacing w:after="0" w:line="240" w:lineRule="auto"/>
    </w:pPr>
    <w:rPr>
      <w:color w:val="E46C0A"/>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Accent4">
    <w:name w:val="Light List Accent 4"/>
    <w:basedOn w:val="TableNormal"/>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2">
    <w:name w:val="Light Grid Accent 2"/>
    <w:basedOn w:val="TableNormal"/>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Shading">
    <w:name w:val="Light Shading"/>
    <w:basedOn w:val="TableNormal"/>
    <w:pPr>
      <w:spacing w:after="0" w:line="240" w:lineRule="auto"/>
    </w:pPr>
    <w:rPr>
      <w:color w:val="000000"/>
    </w:rPr>
    <w:tblPr>
      <w:tblBorders>
        <w:top w:val="single" w:sz="8" w:space="0" w:color="000000" w:themeColor="dk1"/>
        <w:bottom w:val="single" w:sz="8" w:space="0" w:color="000000" w:themeColor="dk1"/>
      </w:tblBorders>
      <w:tblCellMar>
        <w:top w:w="0" w:type="dxa"/>
        <w:left w:w="108" w:type="dxa"/>
        <w:bottom w:w="0" w:type="dxa"/>
        <w:right w:w="108" w:type="dxa"/>
      </w:tblCellMar>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3">
    <w:name w:val="Light Shading Accent 3"/>
    <w:basedOn w:val="TableNormal"/>
    <w:pPr>
      <w:spacing w:after="0" w:line="240" w:lineRule="auto"/>
    </w:pPr>
    <w:rPr>
      <w:color w:val="76933C"/>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List-Accent1">
    <w:name w:val="Light List Accent 1"/>
    <w:basedOn w:val="TableNormal"/>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qFormat/>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5">
    <w:name w:val="Light Grid Accent 5"/>
    <w:basedOn w:val="TableNormal"/>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List-Accent6">
    <w:name w:val="Light List Accent 6"/>
    <w:basedOn w:val="TableNormal"/>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Accent1">
    <w:name w:val="Light Shading Accent 1"/>
    <w:basedOn w:val="TableNormal"/>
    <w:pPr>
      <w:spacing w:after="0" w:line="240" w:lineRule="auto"/>
    </w:pPr>
    <w:rPr>
      <w:color w:val="376092"/>
    </w:rPr>
    <w:tblPr>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5">
    <w:name w:val="Light Shading Accent 5"/>
    <w:basedOn w:val="TableNormal"/>
    <w:pPr>
      <w:spacing w:after="0" w:line="240" w:lineRule="auto"/>
    </w:pPr>
    <w:rPr>
      <w:color w:val="31859B"/>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List-Accent3">
    <w:name w:val="Light List Accent 3"/>
    <w:basedOn w:val="TableNormal"/>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6">
    <w:name w:val="Light Grid Accent 6"/>
    <w:basedOn w:val="TableNormal"/>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LightGrid">
    <w:name w:val="Light Grid"/>
    <w:basedOn w:val="TableNormal"/>
    <w:pPr>
      <w:spacing w:after="0" w:line="240" w:lineRule="auto"/>
    </w:pPr>
    <w:tblPr>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auto"/>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auto"/>
        </w:tcBorders>
      </w:tcPr>
    </w:tblStylePr>
  </w:style>
  <w:style w:type="table" w:styleId="LightGrid-Accent1">
    <w:name w:val="Light Grid Accent 1"/>
    <w:basedOn w:val="TableNormal"/>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MediumGrid1-Accent2">
    <w:name w:val="Medium Grid 1 Accent 2"/>
    <w:basedOn w:val="TableNormal"/>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1">
    <w:name w:val="Medium Grid 1 Accent 1"/>
    <w:basedOn w:val="TableNormal"/>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Shading2-Accent2">
    <w:name w:val="Medium Shading 2 Accent 2"/>
    <w:basedOn w:val="TableNormal"/>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3">
    <w:name w:val="Medium Shading 1 Accent 3"/>
    <w:basedOn w:val="TableNormal"/>
    <w:pPr>
      <w:spacing w:after="0" w:line="240" w:lineRule="auto"/>
    </w:pPr>
    <w:tblPr>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List2-Accent4">
    <w:name w:val="Medium List 2 Accent 4"/>
    <w:basedOn w:val="TableNormal"/>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1-Accent2">
    <w:name w:val="Medium List 1 Accent 2"/>
    <w:basedOn w:val="TableNormal"/>
    <w:pPr>
      <w:spacing w:after="0" w:line="240" w:lineRule="auto"/>
    </w:pPr>
    <w:rPr>
      <w:color w:val="000000"/>
    </w:rPr>
    <w:tblPr>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basedOn w:val="TableNormal"/>
    <w:qFormat/>
    <w:pPr>
      <w:spacing w:after="0" w:line="240" w:lineRule="auto"/>
    </w:pPr>
    <w:rPr>
      <w:color w:val="000000"/>
    </w:rPr>
    <w:tblPr>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5">
    <w:name w:val="Medium Shading 1 Accent 5"/>
    <w:basedOn w:val="TableNormal"/>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List2-Accent3">
    <w:name w:val="Medium List 2 Accent 3"/>
    <w:basedOn w:val="TableNormal"/>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Shading2-Accent4">
    <w:name w:val="Medium Shading 2 Accent 4"/>
    <w:basedOn w:val="TableNormal"/>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qFormat/>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List1-Accent4">
    <w:name w:val="Medium List 1 Accent 4"/>
    <w:basedOn w:val="TableNormal"/>
    <w:qFormat/>
    <w:pPr>
      <w:spacing w:after="0" w:line="240" w:lineRule="auto"/>
    </w:pPr>
    <w:rPr>
      <w:color w:val="000000"/>
    </w:rPr>
    <w:tblPr>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2-Accent1">
    <w:name w:val="Medium Shading 2 Accent 1"/>
    <w:basedOn w:val="TableNormal"/>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qFormat/>
    <w:pPr>
      <w:spacing w:after="0" w:line="240" w:lineRule="auto"/>
    </w:pPr>
    <w:rPr>
      <w:color w:val="000000"/>
    </w:rPr>
    <w:tblPr>
      <w:tblBorders>
        <w:top w:val="single" w:sz="8" w:space="0" w:color="000000" w:themeColor="dk1"/>
        <w:bottom w:val="single" w:sz="8" w:space="0" w:color="000000" w:themeColor="dk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5">
    <w:name w:val="Medium List 1 Accent 5"/>
    <w:basedOn w:val="TableNormal"/>
    <w:qFormat/>
    <w:pPr>
      <w:spacing w:after="0" w:line="240" w:lineRule="auto"/>
    </w:pPr>
    <w:rPr>
      <w:color w:val="000000"/>
    </w:rPr>
    <w:tblPr>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Shading1-Accent4">
    <w:name w:val="Medium Shading 1 Accent 4"/>
    <w:basedOn w:val="TableNormal"/>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2">
    <w:name w:val="Medium Shading 1 Accent 2"/>
    <w:basedOn w:val="TableNormal"/>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1">
    <w:name w:val="Medium Shading 1 Accent 1"/>
    <w:basedOn w:val="TableNormal"/>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List1-Accent1">
    <w:name w:val="Medium List 1 Accent 1"/>
    <w:basedOn w:val="TableNormal"/>
    <w:pPr>
      <w:spacing w:after="0" w:line="240" w:lineRule="auto"/>
    </w:pPr>
    <w:rPr>
      <w:color w:val="000000"/>
    </w:rPr>
    <w:tblPr>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2-Accent6">
    <w:name w:val="Medium Shading 2 Accent 6"/>
    <w:basedOn w:val="TableNormal"/>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pPr>
      <w:spacing w:after="0" w:line="240" w:lineRule="auto"/>
    </w:pPr>
    <w:rPr>
      <w:color w:val="000000"/>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Accent6">
    <w:name w:val="Medium List 2 Accent 6"/>
    <w:basedOn w:val="TableNormal"/>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basedOn w:val="TableNormal"/>
    <w:qFormat/>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basedOn w:val="TableNormal"/>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
    <w:name w:val="Medium List 2"/>
    <w:basedOn w:val="TableNormal"/>
    <w:pPr>
      <w:spacing w:after="0" w:line="240" w:lineRule="auto"/>
    </w:pPr>
    <w:rPr>
      <w:rFonts w:asciiTheme="majorHAnsi" w:eastAsiaTheme="majorEastAsia" w:hAnsiTheme="majorHAnsi" w:cstheme="majorBidi"/>
      <w:color w:val="000000"/>
    </w:rPr>
    <w:tblPr>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basedOn w:val="TableNormal"/>
    <w:pPr>
      <w:spacing w:after="0" w:line="240" w:lineRule="auto"/>
    </w:pPr>
    <w:tblPr>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Shading2-Accent5">
    <w:name w:val="Medium Shading 2 Accent 5"/>
    <w:basedOn w:val="TableNormal"/>
    <w:qFormat/>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2-Accent2">
    <w:name w:val="Medium List 2 Accent 2"/>
    <w:basedOn w:val="TableNormal"/>
    <w:qFormat/>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Shading2">
    <w:name w:val="Medium Shading 2"/>
    <w:basedOn w:val="TableNormal"/>
    <w:pPr>
      <w:spacing w:after="0" w:line="240" w:lineRule="auto"/>
    </w:pPr>
    <w:tblPr>
      <w:tblBorders>
        <w:top w:val="single" w:sz="18" w:space="0" w:color="auto"/>
        <w:bottom w:val="single" w:sz="18" w:space="0" w:color="auto"/>
      </w:tblBorders>
      <w:tblCellMar>
        <w:top w:w="0" w:type="dxa"/>
        <w:left w:w="108" w:type="dxa"/>
        <w:bottom w:w="0" w:type="dxa"/>
        <w:right w:w="108" w:type="dxa"/>
      </w:tblCellMar>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auto"/>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auto"/>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auto"/>
          <w:insideV w:val="single" w:sz="8" w:space="0" w:color="auto"/>
        </w:tcBorders>
        <w:shd w:val="clear" w:color="auto" w:fill="A7C0DE" w:themeFill="accent1" w:themeFillTint="7f"/>
      </w:tcPr>
    </w:tblStylePr>
  </w:style>
  <w:style w:type="table" w:styleId="MediumGrid2">
    <w:name w:val="Medium Grid 2"/>
    <w:basedOn w:val="TableNormal"/>
    <w:pPr>
      <w:spacing w:after="0" w:line="240" w:lineRule="auto"/>
    </w:pPr>
    <w:rPr>
      <w:rFonts w:asciiTheme="majorHAnsi" w:eastAsiaTheme="majorEastAsia" w:hAnsiTheme="majorHAnsi" w:cstheme="majorBidi"/>
      <w:color w:val="000000"/>
    </w:rPr>
    <w:tblPr>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auto"/>
          <w:insideV w:val="single" w:sz="6" w:space="0" w:color="auto"/>
        </w:tcBorders>
        <w:shd w:val="clear" w:color="auto" w:fill="7F7F7F" w:themeFill="dk1" w:themeFillTint="7f"/>
      </w:tcPr>
    </w:tblStylePr>
    <w:tblStylePr w:type="nwCell">
      <w:tblPr/>
      <w:tcPr>
        <w:shd w:val="clear" w:color="auto" w:fill="FFFFFF" w:themeFill="lt1"/>
      </w:tcPr>
    </w:tblStylePr>
  </w:style>
  <w:style w:type="table" w:styleId="MediumGrid2-Accent5">
    <w:name w:val="Medium Grid 2 Accent 5"/>
    <w:basedOn w:val="TableNormal"/>
    <w:pPr>
      <w:spacing w:after="0" w:line="240" w:lineRule="auto"/>
    </w:pPr>
    <w:rPr>
      <w:rFonts w:asciiTheme="majorHAnsi" w:eastAsiaTheme="majorEastAsia" w:hAnsiTheme="majorHAnsi" w:cstheme="majorBidi"/>
      <w:color w:val="000000"/>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lt1"/>
      </w:tcPr>
    </w:tblStylePr>
  </w:style>
  <w:style w:type="table" w:styleId="MediumGrid1-Accent4">
    <w:name w:val="Medium Grid 1 Accent 4"/>
    <w:basedOn w:val="TableNormal"/>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3">
    <w:name w:val="Medium Grid 3 Accent 3"/>
    <w:basedOn w:val="TableNormal"/>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auto"/>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auto"/>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auto"/>
          <w:insideV w:val="single" w:sz="8" w:space="0" w:color="auto"/>
        </w:tcBorders>
        <w:shd w:val="clear" w:color="auto" w:fill="CDDDAC" w:themeFill="accent3" w:themeFillTint="7f"/>
      </w:tcPr>
    </w:tblStylePr>
  </w:style>
  <w:style w:type="table" w:styleId="MediumGrid3-Accent5">
    <w:name w:val="Medium Grid 3 Accent 5"/>
    <w:basedOn w:val="TableNormal"/>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auto"/>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auto"/>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auto"/>
          <w:insideV w:val="single" w:sz="8" w:space="0" w:color="auto"/>
        </w:tcBorders>
        <w:shd w:val="clear" w:color="auto" w:fill="A5D5E2" w:themeFill="accent5" w:themeFillTint="7f"/>
      </w:tcPr>
    </w:tblStylePr>
  </w:style>
  <w:style w:type="table" w:styleId="MediumGrid1-Accent6">
    <w:name w:val="Medium Grid 1 Accent 6"/>
    <w:basedOn w:val="TableNormal"/>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DarkList">
    <w:name w:val="Dark List"/>
    <w:basedOn w:val="TableNormal"/>
    <w:pPr>
      <w:spacing w:after="0" w:line="240" w:lineRule="auto"/>
    </w:pPr>
    <w:rPr>
      <w:color w:val="FFFFFF"/>
    </w:rPr>
    <w:tblPr>
      <w:tblCellMar>
        <w:top w:w="0" w:type="dxa"/>
        <w:left w:w="108" w:type="dxa"/>
        <w:bottom w:w="0" w:type="dxa"/>
        <w:right w:w="108" w:type="dxa"/>
      </w:tblCellMar>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4">
    <w:name w:val="Dark List Accent 4"/>
    <w:basedOn w:val="TableNormal"/>
    <w:pPr>
      <w:spacing w:after="0" w:line="240" w:lineRule="auto"/>
    </w:pPr>
    <w:rPr>
      <w:color w:val="FFFFFF"/>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basedOn w:val="TableNormal"/>
    <w:pPr>
      <w:spacing w:after="0" w:line="240" w:lineRule="auto"/>
    </w:pPr>
    <w:rPr>
      <w:color w:val="FFFFFF"/>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ColorfulShading-Accent3">
    <w:name w:val="Colorful Shading Accent 3"/>
    <w:basedOn w:val="TableNormal"/>
    <w:pPr>
      <w:spacing w:after="0" w:line="240" w:lineRule="auto"/>
    </w:pPr>
    <w:rPr>
      <w:color w:val="000000"/>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auto"/>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DarkList-Accent2">
    <w:name w:val="Dark List Accent 2"/>
    <w:basedOn w:val="TableNormal"/>
    <w:pPr>
      <w:spacing w:after="0" w:line="240" w:lineRule="auto"/>
    </w:pPr>
    <w:rPr>
      <w:color w:val="FFFFFF"/>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MediumGrid1-Accent5">
    <w:name w:val="Medium Grid 1 Accent 5"/>
    <w:basedOn w:val="TableNormal"/>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1">
    <w:name w:val="Medium Grid 2 Accent 1"/>
    <w:basedOn w:val="TableNormal"/>
    <w:pPr>
      <w:spacing w:after="0" w:line="240" w:lineRule="auto"/>
    </w:pPr>
    <w:rPr>
      <w:rFonts w:asciiTheme="majorHAnsi" w:eastAsiaTheme="majorEastAsia" w:hAnsiTheme="majorHAnsi" w:cstheme="majorBidi"/>
      <w:color w:val="000000"/>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auto"/>
          <w:insideV w:val="single" w:sz="6" w:space="0" w:color="auto"/>
        </w:tcBorders>
        <w:shd w:val="clear" w:color="auto" w:fill="A7C0DE" w:themeFill="accent1" w:themeFillTint="7f"/>
      </w:tcPr>
    </w:tblStylePr>
    <w:tblStylePr w:type="nwCell">
      <w:tblPr/>
      <w:tcPr>
        <w:shd w:val="clear" w:color="auto" w:fill="FFFFFF" w:themeFill="lt1"/>
      </w:tcPr>
    </w:tblStylePr>
  </w:style>
  <w:style w:type="table" w:styleId="MediumGrid2-Accent6">
    <w:name w:val="Medium Grid 2 Accent 6"/>
    <w:basedOn w:val="TableNormal"/>
    <w:pPr>
      <w:spacing w:after="0" w:line="240" w:lineRule="auto"/>
    </w:pPr>
    <w:rPr>
      <w:rFonts w:asciiTheme="majorHAnsi" w:eastAsiaTheme="majorEastAsia" w:hAnsiTheme="majorHAnsi" w:cstheme="majorBidi"/>
      <w:color w:val="000000"/>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lt1"/>
      </w:tcPr>
    </w:tblStylePr>
  </w:style>
  <w:style w:type="table" w:styleId="MediumGrid2-Accent4">
    <w:name w:val="Medium Grid 2 Accent 4"/>
    <w:basedOn w:val="TableNormal"/>
    <w:pPr>
      <w:spacing w:after="0" w:line="240" w:lineRule="auto"/>
    </w:pPr>
    <w:rPr>
      <w:rFonts w:asciiTheme="majorHAnsi" w:eastAsiaTheme="majorEastAsia" w:hAnsiTheme="majorHAnsi" w:cstheme="majorBidi"/>
      <w:color w:val="000000"/>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lt1"/>
      </w:tcPr>
    </w:tblStylePr>
  </w:style>
  <w:style w:type="table" w:styleId="MediumGrid3-Accent2">
    <w:name w:val="Medium Grid 3 Accent 2"/>
    <w:basedOn w:val="TableNormal"/>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auto"/>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auto"/>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auto"/>
          <w:insideV w:val="single" w:sz="8" w:space="0" w:color="auto"/>
        </w:tcBorders>
        <w:shd w:val="clear" w:color="auto" w:fill="DFA7A6" w:themeFill="accent2" w:themeFillTint="7f"/>
      </w:tcPr>
    </w:tblStylePr>
  </w:style>
  <w:style w:type="table" w:styleId="DarkList-Accent1">
    <w:name w:val="Dark List Accent 1"/>
    <w:basedOn w:val="TableNormal"/>
    <w:pPr>
      <w:spacing w:after="0" w:line="240" w:lineRule="auto"/>
    </w:pPr>
    <w:rPr>
      <w:color w:val="FFFFFF"/>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MediumGrid3">
    <w:name w:val="Medium Grid 3"/>
    <w:basedOn w:val="TableNormal"/>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auto"/>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auto"/>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auto"/>
          <w:insideV w:val="single" w:sz="8" w:space="0" w:color="auto"/>
        </w:tcBorders>
        <w:shd w:val="clear" w:color="auto" w:fill="7F7F7F" w:themeFill="dk1" w:themeFillTint="7f"/>
      </w:tcPr>
    </w:tblStylePr>
  </w:style>
  <w:style w:type="table" w:styleId="MediumGrid2-Accent2">
    <w:name w:val="Medium Grid 2 Accent 2"/>
    <w:basedOn w:val="TableNormal"/>
    <w:pPr>
      <w:spacing w:after="0" w:line="240" w:lineRule="auto"/>
    </w:pPr>
    <w:rPr>
      <w:rFonts w:asciiTheme="majorHAnsi" w:eastAsiaTheme="majorEastAsia" w:hAnsiTheme="majorHAnsi" w:cstheme="majorBidi"/>
      <w:color w:val="000000"/>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lt1"/>
      </w:tcPr>
    </w:tblStylePr>
  </w:style>
  <w:style w:type="table" w:styleId="DarkList-Accent3">
    <w:name w:val="Dark List Accent 3"/>
    <w:basedOn w:val="TableNormal"/>
    <w:pPr>
      <w:spacing w:after="0" w:line="240" w:lineRule="auto"/>
    </w:pPr>
    <w:rPr>
      <w:color w:val="FFFFFF"/>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ColorfulShading">
    <w:name w:val="Colorful Shading"/>
    <w:basedOn w:val="TableNormal"/>
    <w:pPr>
      <w:spacing w:after="0" w:line="240" w:lineRule="auto"/>
    </w:pPr>
    <w:rPr>
      <w:color w:val="000000"/>
    </w:rPr>
    <w:tblPr>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auto"/>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MediumGrid3-Accent4">
    <w:name w:val="Medium Grid 3 Accent 4"/>
    <w:basedOn w:val="TableNormal"/>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auto"/>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auto"/>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auto"/>
          <w:insideV w:val="single" w:sz="8" w:space="0" w:color="auto"/>
        </w:tcBorders>
        <w:shd w:val="clear" w:color="auto" w:fill="BFB1D0" w:themeFill="accent4" w:themeFillTint="7f"/>
      </w:tcPr>
    </w:tblStylePr>
  </w:style>
  <w:style w:type="table" w:styleId="ColorfulShading-Accent1">
    <w:name w:val="Colorful Shading Accent 1"/>
    <w:basedOn w:val="TableNormal"/>
    <w:pPr>
      <w:spacing w:after="0" w:line="240" w:lineRule="auto"/>
    </w:pPr>
    <w:rPr>
      <w:color w:val="000000"/>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auto"/>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pPr>
      <w:spacing w:after="0" w:line="240" w:lineRule="auto"/>
    </w:pPr>
    <w:rPr>
      <w:color w:val="000000"/>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MediumGrid3-Accent6">
    <w:name w:val="Medium Grid 3 Accent 6"/>
    <w:basedOn w:val="TableNormal"/>
    <w:pPr>
      <w:spacing w:after="0" w:line="240" w:lineRule="auto"/>
    </w:pPr>
    <w:tblPr>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auto"/>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auto"/>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auto"/>
          <w:insideV w:val="single" w:sz="8" w:space="0" w:color="auto"/>
        </w:tcBorders>
        <w:shd w:val="clear" w:color="auto" w:fill="FBCAA2" w:themeFill="accent6" w:themeFillTint="7f"/>
      </w:tcPr>
    </w:tblStylePr>
  </w:style>
  <w:style w:type="table" w:styleId="ColorfulShading-Accent4">
    <w:name w:val="Colorful Shading Accent 4"/>
    <w:basedOn w:val="TableNormal"/>
    <w:pPr>
      <w:spacing w:after="0" w:line="240" w:lineRule="auto"/>
    </w:pPr>
    <w:rPr>
      <w:color w:val="000000"/>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auto"/>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pPr>
      <w:spacing w:after="0" w:line="240" w:lineRule="auto"/>
    </w:pPr>
    <w:rPr>
      <w:color w:val="000000"/>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DarkList-Accent6">
    <w:name w:val="Dark List Accent 6"/>
    <w:basedOn w:val="TableNormal"/>
    <w:pPr>
      <w:spacing w:after="0" w:line="240" w:lineRule="auto"/>
    </w:pPr>
    <w:rPr>
      <w:color w:val="FFFFFF"/>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Accent6">
    <w:name w:val="Colorful Shading Accent 6"/>
    <w:basedOn w:val="TableNormal"/>
    <w:pPr>
      <w:spacing w:after="0" w:line="240" w:lineRule="auto"/>
    </w:pPr>
    <w:rPr>
      <w:color w:val="000000"/>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auto"/>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MediumGrid2-Accent3">
    <w:name w:val="Medium Grid 2 Accent 3"/>
    <w:basedOn w:val="TableNormal"/>
    <w:pPr>
      <w:spacing w:after="0" w:line="240" w:lineRule="auto"/>
    </w:pPr>
    <w:rPr>
      <w:rFonts w:asciiTheme="majorHAnsi" w:eastAsiaTheme="majorEastAsia" w:hAnsiTheme="majorHAnsi" w:cstheme="majorBidi"/>
      <w:color w:val="000000"/>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lt1"/>
      </w:tcPr>
    </w:tblStylePr>
  </w:style>
  <w:style w:type="table" w:styleId="ColorfulList">
    <w:name w:val="Colorful List"/>
    <w:basedOn w:val="TableNormal"/>
    <w:pPr>
      <w:spacing w:after="0" w:line="240" w:lineRule="auto"/>
    </w:pPr>
    <w:rPr>
      <w:color w:val="000000"/>
    </w:rPr>
    <w:tblPr>
      <w:tblCellMar>
        <w:top w:w="0" w:type="dxa"/>
        <w:left w:w="108" w:type="dxa"/>
        <w:bottom w:w="0" w:type="dxa"/>
        <w:right w:w="108" w:type="dxa"/>
      </w:tblCellMar>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basedOn w:val="TableNormal"/>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4">
    <w:name w:val="Colorful List Accent 4"/>
    <w:basedOn w:val="TableNormal"/>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Grid-Accent1">
    <w:name w:val="Colorful Grid Accent 1"/>
    <w:basedOn w:val="TableNormal"/>
    <w:pPr>
      <w:spacing w:after="0" w:line="240" w:lineRule="auto"/>
    </w:pPr>
    <w:rPr>
      <w:color w:val="000000"/>
    </w:rPr>
    <w:tblPr>
      <w:tblBorders>
        <w:insideH w:val="single" w:sz="4" w:space="0" w:color="FFFFFF" w:themeColor="lt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3">
    <w:name w:val="Colorful Grid Accent 3"/>
    <w:basedOn w:val="TableNormal"/>
    <w:pPr>
      <w:spacing w:after="0" w:line="240" w:lineRule="auto"/>
    </w:pPr>
    <w:rPr>
      <w:color w:val="000000"/>
    </w:rPr>
    <w:tblPr>
      <w:tblBorders>
        <w:insideH w:val="single" w:sz="4" w:space="0" w:color="FFFFFF" w:themeColor="lt1"/>
      </w:tblBorders>
      <w:tblCellMar>
        <w:top w:w="0" w:type="dxa"/>
        <w:left w:w="108" w:type="dxa"/>
        <w:bottom w:w="0" w:type="dxa"/>
        <w:right w:w="108" w:type="dxa"/>
      </w:tblCellMar>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5">
    <w:name w:val="Colorful Grid Accent 5"/>
    <w:basedOn w:val="TableNormal"/>
    <w:pPr>
      <w:spacing w:after="0" w:line="240" w:lineRule="auto"/>
    </w:pPr>
    <w:rPr>
      <w:color w:val="000000"/>
    </w:rPr>
    <w:tblPr>
      <w:tblBorders>
        <w:insideH w:val="single" w:sz="4" w:space="0" w:color="FFFFFF" w:themeColor="lt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pPr>
      <w:spacing w:after="0" w:line="240" w:lineRule="auto"/>
    </w:pPr>
    <w:rPr>
      <w:color w:val="000000"/>
    </w:rPr>
    <w:tblPr>
      <w:tblBorders>
        <w:insideH w:val="single" w:sz="4" w:space="0" w:color="FFFFFF" w:themeColor="lt1"/>
      </w:tblBorders>
      <w:tblCellMar>
        <w:top w:w="0" w:type="dxa"/>
        <w:left w:w="108" w:type="dxa"/>
        <w:bottom w:w="0" w:type="dxa"/>
        <w:right w:w="108" w:type="dxa"/>
      </w:tblCellMar>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Accent5">
    <w:name w:val="Colorful List Accent 5"/>
    <w:basedOn w:val="TableNormal"/>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Grid-Accent2">
    <w:name w:val="Colorful Grid Accent 2"/>
    <w:basedOn w:val="TableNormal"/>
    <w:pPr>
      <w:spacing w:after="0" w:line="240" w:lineRule="auto"/>
    </w:pPr>
    <w:rPr>
      <w:color w:val="000000"/>
    </w:rPr>
    <w:tblPr>
      <w:tblBorders>
        <w:insideH w:val="single" w:sz="4" w:space="0" w:color="FFFFFF" w:themeColor="lt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4">
    <w:name w:val="Colorful Grid Accent 4"/>
    <w:basedOn w:val="TableNormal"/>
    <w:pPr>
      <w:spacing w:after="0" w:line="240" w:lineRule="auto"/>
    </w:pPr>
    <w:rPr>
      <w:color w:val="000000"/>
    </w:rPr>
    <w:tblPr>
      <w:tblBorders>
        <w:insideH w:val="single" w:sz="4" w:space="0" w:color="FFFFFF" w:themeColor="lt1"/>
      </w:tblBorders>
      <w:tblCellMar>
        <w:top w:w="0" w:type="dxa"/>
        <w:left w:w="108" w:type="dxa"/>
        <w:bottom w:w="0" w:type="dxa"/>
        <w:right w:w="108" w:type="dxa"/>
      </w:tblCellMar>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List-Accent6">
    <w:name w:val="Colorful List Accent 6"/>
    <w:basedOn w:val="TableNormal"/>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List-Accent3">
    <w:name w:val="Colorful List Accent 3"/>
    <w:basedOn w:val="TableNormal"/>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Grid">
    <w:name w:val="Colorful Grid"/>
    <w:basedOn w:val="TableNormal"/>
    <w:pPr>
      <w:spacing w:after="0" w:line="240" w:lineRule="auto"/>
    </w:pPr>
    <w:rPr>
      <w:color w:val="000000"/>
    </w:rPr>
    <w:tblPr>
      <w:tblBorders>
        <w:insideH w:val="single" w:sz="4" w:space="0" w:color="FFFFFF" w:themeColor="lt1"/>
      </w:tblBorders>
      <w:tblCellMar>
        <w:top w:w="0" w:type="dxa"/>
        <w:left w:w="108" w:type="dxa"/>
        <w:bottom w:w="0" w:type="dxa"/>
        <w:right w:w="108" w:type="dxa"/>
      </w:tblCellMar>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List-Accent2">
    <w:name w:val="Colorful List Accent 2"/>
    <w:basedOn w:val="TableNormal"/>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character" w:customStyle="1" w:styleId="TitleChar">
    <w:name w:val="Title Char"/>
    <w:basedOn w:val="DefaultParagraphFont"/>
    <w:link w:val="Title"/>
    <w:rPr>
      <w:rFonts w:asciiTheme="majorHAnsi" w:eastAsiaTheme="majorEastAsia" w:hAnsiTheme="majorHAnsi" w:cstheme="majorBidi"/>
      <w:color w:val="17375E"/>
      <w:sz w:val="52"/>
      <w:szCs w:val="52"/>
      <w:kern w:val="28"/>
      <w:spacing w:val="5"/>
    </w:rPr>
  </w:style>
  <w:style w:type="paragraph" w:styleId="NoSpacing">
    <w:name w:val="No Spacing"/>
    <w:qFormat/>
    <w:pPr>
      <w:spacing w:after="0" w:line="240" w:lineRule="auto"/>
    </w:pPr>
    <w:rPr>
      <w:lang w:val="en-US" w:eastAsia="en-US" w:bidi="ar-SA"/>
      <w:rFonts w:asciiTheme="minorHAnsi" w:eastAsiaTheme="minorEastAsia" w:hAnsiTheme="minorHAnsi" w:cstheme="minorBidi"/>
      <w:sz w:val="22"/>
      <w:szCs w:val="22"/>
    </w:rPr>
  </w:style>
  <w:style w:type="character" w:customStyle="1" w:styleId="SubtitleChar">
    <w:name w:val="Subtitle Char"/>
    <w:basedOn w:val="DefaultParagraphFont"/>
    <w:link w:val="Subtitle"/>
    <w:rPr>
      <w:rFonts w:asciiTheme="majorHAnsi" w:eastAsiaTheme="majorEastAsia" w:hAnsiTheme="majorHAnsi" w:cstheme="majorBidi"/>
      <w:i/>
      <w:iCs/>
      <w:color w:val="4F81BD"/>
      <w:sz w:val="24"/>
      <w:szCs w:val="24"/>
      <w:spacing w:val="15"/>
    </w:rPr>
  </w:style>
  <w:style w:type="character" w:customStyle="1" w:styleId="SubtleEmphasis">
    <w:name w:val="Subtle Emphasis"/>
    <w:basedOn w:val="DefaultParagraphFont"/>
    <w:qFormat/>
    <w:rPr>
      <w:i/>
      <w:iCs/>
      <w:color w:val="7E7E7E"/>
    </w:rPr>
  </w:style>
  <w:style w:type="character" w:styleId="Emphasis">
    <w:name w:val="Emphasis"/>
    <w:basedOn w:val="DefaultParagraphFont"/>
    <w:qFormat/>
    <w:rPr>
      <w:i/>
      <w:iCs/>
    </w:rPr>
  </w:style>
  <w:style w:type="paragraph" w:styleId="BodyText2">
    <w:name w:val="Body Text 2"/>
    <w:basedOn w:val="Normal"/>
    <w:link w:val="Normal"/>
    <w:unhideWhenUsed/>
    <w:pPr>
      <w:spacing w:after="120" w:line="480" w:lineRule="auto"/>
    </w:pPr>
  </w:style>
  <w:style w:type="paragraph" w:styleId="BodyText3">
    <w:name w:val="Body Text 3"/>
    <w:basedOn w:val="Normal"/>
    <w:link w:val="Normal"/>
    <w:unhideWhenUsed/>
    <w:pPr>
      <w:spacing w:after="120"/>
    </w:pPr>
    <w:rPr>
      <w:sz w:val="16"/>
      <w:szCs w:val="16"/>
    </w:rPr>
  </w:style>
  <w:style w:type="paragraph" w:styleId="IntenseQuote">
    <w:name w:val="Intense Quote"/>
    <w:basedOn w:val="Normal"/>
    <w:next w:val="Normal"/>
    <w:link w:val="Normal"/>
    <w:qFormat/>
    <w:pPr>
      <w:ind w:left="936" w:right="936"/>
      <w:pBdr>
        <w:bottom w:val="single" w:sz="4" w:space="4" w:color="4F81BD" w:themeColor="accent1"/>
      </w:pBdr>
      <w:spacing w:after="280" w:before="200"/>
    </w:pPr>
    <w:rPr>
      <w:b/>
      <w:bCs/>
      <w:i/>
      <w:iCs/>
      <w:color w:val="4F81BD"/>
    </w:rPr>
  </w:style>
  <w:style w:type="character" w:customStyle="1" w:styleId="BodyText3Char">
    <w:name w:val="Body Text 3 Char"/>
    <w:basedOn w:val="DefaultParagraphFont"/>
    <w:link w:val="Normal"/>
    <w:rPr>
      <w:sz w:val="16"/>
      <w:szCs w:val="16"/>
    </w:rPr>
  </w:style>
  <w:style w:type="character" w:customStyle="1" w:styleId="IntenseQuoteChar">
    <w:name w:val="Intense Quote Char"/>
    <w:basedOn w:val="DefaultParagraphFont"/>
    <w:link w:val="Normal"/>
    <w:rPr>
      <w:b/>
      <w:bCs/>
      <w:i/>
      <w:iCs/>
      <w:color w:val="4F81BD"/>
    </w:rPr>
  </w:style>
  <w:style w:type="character" w:customStyle="1" w:styleId="BookTitle">
    <w:name w:val="Book Title"/>
    <w:basedOn w:val="DefaultParagraphFont"/>
    <w:qFormat/>
    <w:rPr>
      <w:b/>
      <w:bCs/>
      <w:smallCaps/>
      <w:spacing w:val="5"/>
    </w:rPr>
  </w:style>
  <w:style w:type="character" w:customStyle="1" w:styleId="SubtleReference">
    <w:name w:val="Subtle Reference"/>
    <w:basedOn w:val="DefaultParagraphFont"/>
    <w:qFormat/>
    <w:rPr>
      <w:smallCaps/>
      <w:color w:val="C0504D"/>
      <w:u w:val="single" w:color="auto"/>
    </w:rPr>
  </w:style>
  <w:style w:type="character" w:styleId="Strong">
    <w:name w:val="Strong"/>
    <w:basedOn w:val="DefaultParagraphFont"/>
    <w:qFormat/>
    <w:rPr>
      <w:b/>
      <w:bCs/>
    </w:rPr>
  </w:style>
  <w:style w:type="character" w:customStyle="1" w:styleId="QuoteChar">
    <w:name w:val="Quote Char"/>
    <w:basedOn w:val="DefaultParagraphFont"/>
    <w:link w:val="Quote"/>
    <w:qFormat/>
    <w:rPr>
      <w:i/>
      <w:iCs/>
      <w:color w:val="000000"/>
    </w:rPr>
  </w:style>
  <w:style w:type="character" w:customStyle="1" w:styleId="IntenseReference">
    <w:name w:val="Intense Reference"/>
    <w:basedOn w:val="DefaultParagraphFont"/>
    <w:qFormat/>
    <w:rPr>
      <w:b/>
      <w:bCs/>
      <w:smallCaps/>
      <w:color w:val="C0504D"/>
      <w:u w:val="single" w:color="auto"/>
      <w:spacing w:val="5"/>
    </w:rPr>
  </w:style>
  <w:style w:type="paragraph" w:styleId="Caption">
    <w:name w:val="caption"/>
    <w:basedOn w:val="Normal"/>
    <w:next w:val="Normal"/>
    <w:qFormat/>
    <w:semiHidden/>
    <w:unhideWhenUsed/>
    <w:pPr>
      <w:spacing w:line="240" w:lineRule="auto"/>
    </w:pPr>
    <w:rPr>
      <w:b/>
      <w:bCs/>
      <w:color w:val="4F81BD"/>
      <w:sz w:val="18"/>
      <w:szCs w:val="18"/>
    </w:rPr>
  </w:style>
  <w:style w:type="paragraph" w:customStyle="1" w:styleId="TOCHeading">
    <w:name w:val="TOC Heading"/>
    <w:basedOn w:val="Heading1"/>
    <w:next w:val="Normal"/>
    <w:qFormat/>
    <w:semiHidden/>
    <w:unhideWhenUsed/>
    <w:pPr>
      <w:outlineLvl w:val="9"/>
    </w:pPr>
  </w:style>
  <w:style w:type="character" w:customStyle="1" w:styleId="BodyTextChar">
    <w:name w:val="Body Text Char"/>
    <w:basedOn w:val="DefaultParagraphFont"/>
    <w:link w:val="Normal"/>
  </w:style>
  <w:style w:type="paragraph" w:styleId="BodyText">
    <w:name w:val="Body Text"/>
    <w:basedOn w:val="Normal"/>
    <w:link w:val="Normal"/>
    <w:unhideWhenUsed/>
    <w:pPr>
      <w:spacing w:after="120"/>
    </w:pPr>
  </w:style>
  <w:style w:type="character" w:customStyle="1" w:styleId="IntenseEmphasis">
    <w:name w:val="Intense Emphasis"/>
    <w:basedOn w:val="DefaultParagraphFont"/>
    <w:qFormat/>
    <w:rPr>
      <w:b/>
      <w:bCs/>
      <w:i/>
      <w:iCs/>
      <w:color w:val="4F81BD"/>
    </w:rPr>
  </w:style>
  <w:style w:type="paragraph" w:styleId="ListParagraph">
    <w:name w:val="List Paragraph"/>
    <w:basedOn w:val="Normal"/>
    <w:qFormat/>
    <w:pPr>
      <w:ind w:left="720"/>
      <w:contextualSpacing/>
    </w:pPr>
  </w:style>
  <w:style w:type="character" w:customStyle="1" w:styleId="BodyText2Char">
    <w:name w:val="Body Text 2 Char"/>
    <w:basedOn w:val="DefaultParagraphFont"/>
    <w:link w:val="Normal"/>
  </w:style>
  <w:style w:type="character" w:customStyle="1" w:styleId="HeaderChar">
    <w:name w:val="Header Char"/>
    <w:basedOn w:val="DefaultParagraphFont"/>
    <w:link w:val="Normal"/>
  </w:style>
  <w:style w:type="character" w:customStyle="1" w:styleId="FooterChar">
    <w:name w:val="Footer Char"/>
    <w:basedOn w:val="DefaultParagraphFont"/>
    <w:link w:val="Normal"/>
  </w:style>
  <w:style w:type="paragraph" w:styleId="Footer">
    <w:name w:val="footer"/>
    <w:basedOn w:val="Normal"/>
    <w:link w:val="Normal"/>
    <w:unhideWhenUsed/>
    <w:pPr>
      <w:tabs>
        <w:tab w:val="center" w:pos="4680"/>
        <w:tab w:val="right" w:pos="9360"/>
      </w:tabs>
      <w:spacing w:after="0" w:line="240" w:lineRule="auto"/>
    </w:pPr>
  </w:style>
  <w:style w:type="paragraph" w:styleId="Header">
    <w:name w:val="header"/>
    <w:basedOn w:val="Normal"/>
    <w:link w:val="Normal"/>
    <w:unhideWhenUsed/>
    <w:pPr>
      <w:tabs>
        <w:tab w:val="center" w:pos="4680"/>
        <w:tab w:val="right" w:pos="9360"/>
      </w:tabs>
      <w:spacing w:after="0" w:line="240" w:lineRule="auto"/>
    </w:pPr>
  </w:style>
  <w:style w:type="paragraph" w:styleId="ListBullet">
    <w:name w:val="List Bullet"/>
    <w:basedOn w:val="Normal"/>
    <w:unhideWhenUsed/>
    <w:pPr>
      <w:contextualSpacing/>
      <w:numPr>
        <w:ilvl w:val="0"/>
      </w:numPr>
    </w:pPr>
  </w:style>
  <w:style w:type="paragraph" w:styleId="ListContinue">
    <w:name w:val="List Continue"/>
    <w:basedOn w:val="Normal"/>
    <w:unhideWhenUsed/>
    <w:pPr>
      <w:ind w:left="360"/>
      <w:contextualSpacing/>
      <w:spacing w:after="120"/>
    </w:pPr>
  </w:style>
  <w:style w:type="paragraph" w:styleId="ListContinue2">
    <w:name w:val="List Continue 2"/>
    <w:basedOn w:val="Normal"/>
    <w:unhideWhenUsed/>
    <w:pPr>
      <w:ind w:left="720"/>
      <w:contextualSpacing/>
      <w:spacing w:after="120"/>
    </w:pPr>
  </w:style>
  <w:style w:type="paragraph" w:styleId="ListContinue3">
    <w:name w:val="List Continue 3"/>
    <w:basedOn w:val="Normal"/>
    <w:unhideWhenUsed/>
    <w:pPr>
      <w:ind w:left="1080"/>
      <w:contextualSpacing/>
      <w:spacing w:after="120"/>
    </w:pPr>
  </w:style>
  <w:style w:type="paragraph" w:styleId="List">
    <w:name w:val="List"/>
    <w:basedOn w:val="Normal"/>
    <w:unhideWhenUsed/>
    <w:pPr>
      <w:ind w:left="360" w:hanging="360"/>
      <w:contextualSpacing/>
    </w:pPr>
  </w:style>
  <w:style w:type="paragraph" w:styleId="List3">
    <w:name w:val="List 3"/>
    <w:basedOn w:val="Normal"/>
    <w:unhideWhenUsed/>
    <w:pPr>
      <w:ind w:left="1080" w:hanging="360"/>
      <w:contextualSpacing/>
    </w:pPr>
  </w:style>
  <w:style w:type="paragraph" w:styleId="ListBullet2">
    <w:name w:val="List Bullet 2"/>
    <w:basedOn w:val="Normal"/>
    <w:unhideWhenUsed/>
    <w:pPr>
      <w:contextualSpacing/>
      <w:numPr>
        <w:ilvl w:val="0"/>
      </w:numPr>
    </w:pPr>
  </w:style>
  <w:style w:type="paragraph" w:styleId="ListBullet3">
    <w:name w:val="List Bullet 3"/>
    <w:basedOn w:val="Normal"/>
    <w:unhideWhenUsed/>
    <w:pPr>
      <w:contextualSpacing/>
      <w:numPr>
        <w:ilvl w:val="0"/>
      </w:numPr>
    </w:pPr>
  </w:style>
  <w:style w:type="paragraph" w:styleId="List2">
    <w:name w:val="List 2"/>
    <w:basedOn w:val="Normal"/>
    <w:unhideWhenUsed/>
    <w:pPr>
      <w:ind w:left="720" w:hanging="360"/>
      <w:contextualSpacing/>
    </w:pPr>
  </w:style>
  <w:style w:type="paragraph" w:styleId="MacroText">
    <w:name w:val="macro"/>
    <w:link w:val="Normal"/>
    <w:unhideWhenUsed/>
    <w:pPr>
      <w:tabs>
        <w:tab w:val="left" w:pos="576"/>
        <w:tab w:val="left" w:pos="1152"/>
        <w:tab w:val="left" w:pos="1728"/>
        <w:tab w:val="left" w:pos="2304"/>
        <w:tab w:val="left" w:pos="2880"/>
        <w:tab w:val="left" w:pos="3456"/>
        <w:tab w:val="left" w:pos="4032"/>
      </w:tabs>
      <w:spacing w:after="200" w:line="276" w:lineRule="auto"/>
    </w:pPr>
    <w:rPr>
      <w:lang w:val="en-US" w:eastAsia="en-US" w:bidi="ar-SA"/>
      <w:rFonts w:ascii="Courier" w:eastAsiaTheme="minorEastAsia" w:hAnsi="Courier" w:cstheme="minorBidi"/>
      <w:sz w:val="20"/>
      <w:szCs w:val="20"/>
    </w:rPr>
  </w:style>
  <w:style w:type="character" w:customStyle="1" w:styleId="MacroTextChar">
    <w:name w:val="Macro Text Char"/>
    <w:basedOn w:val="DefaultParagraphFont"/>
    <w:link w:val="Normal"/>
    <w:rPr>
      <w:rFonts w:ascii="Courier" w:hAnsi="Courier"/>
      <w:sz w:val="20"/>
      <w:szCs w:val="20"/>
    </w:rPr>
  </w:style>
  <w:style w:type="paragraph" w:styleId="ListNumber3">
    <w:name w:val="List Number 3"/>
    <w:basedOn w:val="Normal"/>
    <w:unhideWhenUsed/>
    <w:pPr>
      <w:contextualSpacing/>
      <w:numPr>
        <w:ilvl w:val="0"/>
      </w:numPr>
    </w:pPr>
  </w:style>
  <w:style w:type="paragraph" w:styleId="ListNumber">
    <w:name w:val="List Number"/>
    <w:basedOn w:val="Normal"/>
    <w:unhideWhenUsed/>
    <w:pPr>
      <w:contextualSpacing/>
      <w:numPr>
        <w:ilvl w:val="0"/>
      </w:numPr>
    </w:pPr>
  </w:style>
  <w:style w:type="paragraph" w:styleId="ListNumber2">
    <w:name w:val="List Number 2"/>
    <w:basedOn w:val="Normal"/>
    <w:unhideWhenUsed/>
    <w:pPr>
      <w:contextualSpacing/>
      <w:numPr>
        <w:ilvl w:val="0"/>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generated by python-docx</dc:description>
  <cp:lastModifiedBy>USER</cp:lastModifiedBy>
  <cp:revision>1</cp:revision>
  <dcterms:created xsi:type="dcterms:W3CDTF">2013-12-23T23:15:00Z</dcterms:created>
  <dcterms:modified xsi:type="dcterms:W3CDTF">2026-05-14T06:47:39Z</dcterms:modified>
  <cp:version>0900.0001.01</cp:version>
</cp:coreProperties>
</file>