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맑은 고딕" w:eastAsia="맑은 고딕" w:hAnsi="맑은 고딕" w:cs="맑은 고딕" w:hint="eastAsia"/>
          <w:b/>
          <w:bCs/>
          <w:sz w:val="28"/>
          <w:szCs w:val="28"/>
        </w:rPr>
      </w:pPr>
      <w:r>
        <w:rPr>
          <w:rFonts w:ascii="맑은 고딕" w:eastAsia="맑은 고딕" w:hAnsi="맑은 고딕" w:cs="맑은 고딕" w:hint="eastAsia"/>
          <w:b/>
          <w:bCs/>
          <w:sz w:val="28"/>
          <w:szCs w:val="28"/>
        </w:rPr>
        <w:t>인공지능 기반 스마트 계약 프로젝트 자동화 악성 탐지 기술</w:t>
      </w:r>
    </w:p>
    <w:p>
      <w:pPr>
        <w:rPr>
          <w:rFonts w:hint="eastAsia"/>
        </w:rPr>
      </w:pPr>
    </w:p>
    <w:p>
      <w:pPr>
        <w:adjustRightInd/>
        <w:autoSpaceDE/>
        <w:autoSpaceDN/>
        <w:topLinePunct w:val="off"/>
        <w:bidi w:val="off"/>
        <w:keepNext w:val="off"/>
        <w:keepLines w:val="off"/>
        <w:pageBreakBefore w:val="off"/>
        <w:widowControl w:val="off"/>
        <w:kinsoku/>
        <w:wordWrap/>
        <w:overflowPunct/>
        <w:snapToGrid/>
        <w:jc w:val="right"/>
        <w:spacing w:after="157" w:afterLines="50"/>
        <w:textAlignment w:val="auto"/>
        <w:rPr>
          <w:lang w:eastAsia="zh-CN"/>
          <w:rFonts w:asciiTheme="minorEastAsia" w:hAnsiTheme="minorEastAsia" w:cstheme="minorEastAsia"/>
          <w:sz w:val="28"/>
          <w:szCs w:val="28"/>
        </w:rPr>
      </w:pPr>
      <w:r>
        <w:rPr>
          <w:rFonts w:asciiTheme="minorEastAsia" w:eastAsiaTheme="minorEastAsia" w:hAnsiTheme="minorEastAsia" w:cstheme="minorEastAsia"/>
          <w:sz w:val="28"/>
          <w:szCs w:val="28"/>
        </w:rPr>
        <w:t xml:space="preserve">Submitted by :  천희 </w:t>
      </w:r>
      <w:r>
        <w:rPr>
          <w:lang w:eastAsia="zh-CN"/>
          <w:rFonts w:asciiTheme="minorEastAsia" w:hAnsiTheme="minorEastAsia" w:cstheme="minorEastAsia"/>
          <w:sz w:val="28"/>
          <w:szCs w:val="28"/>
        </w:rPr>
        <w:t>（</w:t>
      </w:r>
      <w:r>
        <w:rPr>
          <w:lang w:val="en-US" w:eastAsia="zh-CN"/>
          <w:rFonts w:asciiTheme="minorEastAsia" w:hAnsiTheme="minorEastAsia" w:cstheme="minorEastAsia"/>
          <w:sz w:val="28"/>
          <w:szCs w:val="28"/>
        </w:rPr>
        <w:t>CHEN XI</w:t>
      </w:r>
      <w:r>
        <w:rPr>
          <w:lang w:eastAsia="zh-CN"/>
          <w:rFonts w:asciiTheme="minorEastAsia" w:hAnsiTheme="minorEastAsia" w:cstheme="minorEastAsia"/>
          <w:sz w:val="28"/>
          <w:szCs w:val="28"/>
        </w:rPr>
        <w:t>）</w:t>
      </w:r>
    </w:p>
    <w:p>
      <w:pPr>
        <w:adjustRightInd/>
        <w:ind w:firstLineChars="900" w:firstLine="2520"/>
        <w:autoSpaceDE/>
        <w:autoSpaceDN/>
        <w:topLinePunct w:val="off"/>
        <w:bidi w:val="off"/>
        <w:keepNext w:val="off"/>
        <w:keepLines w:val="off"/>
        <w:pageBreakBefore w:val="off"/>
        <w:widowControl w:val="off"/>
        <w:kinsoku/>
        <w:wordWrap/>
        <w:overflowPunct/>
        <w:snapToGrid/>
        <w:jc w:val="center"/>
        <w:spacing w:after="157" w:afterLines="50"/>
        <w:textAlignment w:val="auto"/>
        <w:rPr>
          <w:lang w:val="en-US" w:eastAsia="zh-CN"/>
          <w:rFonts w:asciiTheme="minorEastAsia" w:eastAsiaTheme="minorEastAsia" w:hAnsiTheme="minorEastAsia" w:cstheme="minorEastAsia"/>
          <w:sz w:val="28"/>
          <w:szCs w:val="28"/>
        </w:rPr>
      </w:pPr>
      <w:r>
        <w:rPr>
          <w:lang w:val="en-US" w:eastAsia="zh-CN"/>
          <w:rFonts w:asciiTheme="minorEastAsia" w:hAnsiTheme="minorEastAsia" w:cstheme="minorEastAsia"/>
          <w:sz w:val="28"/>
          <w:szCs w:val="28"/>
        </w:rPr>
        <w:t xml:space="preserve">                  </w:t>
      </w:r>
      <w:r>
        <w:rPr>
          <w:lang w:val="en-US" w:eastAsia="zh-CN"/>
          <w:rFonts w:asciiTheme="minorEastAsia" w:eastAsiaTheme="minorEastAsia" w:hAnsiTheme="minorEastAsia" w:cstheme="minorEastAsia"/>
          <w:sz w:val="28"/>
          <w:szCs w:val="28"/>
        </w:rPr>
        <w:t>50250336</w:t>
      </w:r>
    </w:p>
    <w:p>
      <w:pPr>
        <w:rPr>
          <w:rFonts w:hint="eastAsia"/>
        </w:rPr>
      </w:pP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b/>
          <w:bCs/>
          <w:sz w:val="21"/>
          <w:szCs w:val="21"/>
        </w:rPr>
      </w:pPr>
      <w:r>
        <w:rPr>
          <w:rFonts w:ascii="맑은 고딕" w:eastAsia="맑은 고딕" w:hAnsi="맑은 고딕" w:cs="맑은 고딕" w:hint="eastAsia"/>
          <w:b/>
          <w:bCs/>
          <w:sz w:val="21"/>
          <w:szCs w:val="21"/>
        </w:rPr>
        <w:t>제1장 서론</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b/>
          <w:bCs/>
          <w:sz w:val="21"/>
          <w:szCs w:val="21"/>
        </w:rPr>
      </w:pPr>
      <w:r>
        <w:rPr>
          <w:rFonts w:ascii="맑은 고딕" w:eastAsia="맑은 고딕" w:hAnsi="맑은 고딕" w:cs="맑은 고딕" w:hint="eastAsia"/>
          <w:b/>
          <w:bCs/>
          <w:sz w:val="21"/>
          <w:szCs w:val="21"/>
        </w:rPr>
        <w:t>1.1 연구 배경 및 의의</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인터넷 기술과 디지털 인프라가 빠르게 발전함에 따라 Web3.0은 개념적 논의를 넘어 실제 서비스와 산업 생태계로 확장되고 있다. 이 과정에서 블록체인은 분산 신뢰를 구현하는 핵심 기술로 자리 잡았으며, 특히 이더리움은 스마트 계약을 통해 다양한 탈중앙화 응용 서비스를 가능하게 하였다. DeFi, NFT, 보험, 대출, 유동성 관리와 같은 서비스는 스마트 계약을 기반으로 자동 실행되며, 기존 중앙화 플랫폼과는 다른 새로운 비즈니스 구조를 형성하고 있다.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그러나 스마트 계약은 자동화와 투명성을 제공하는 동시에 보안 위험도 함께 증폭시킨다. 계약 설계가 미흡하거나 권한 통제가 부정확하고, 상태 갱신 과정 또는 크로스 계약 호출 구조에 결함이 존재할 경우, 공격자는 재진입 공격, 플래시론 공격, 가격 조작, 서비스 거부, 프런트러닝 등의 방식으로 악성 거래를 수행할 수 있다. 이러한 공격은 단일 계약의 손실에 그치지 않고 프로젝트 전체의 기능 마비, 자산 손실, 나아가 유사 프로젝트로의 연쇄적 위험 확산으로 이어질 수 있다.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현재 스마트 계약 보안 연구는 주로 수작업 코드 감사, 정적 분석, 형식 검증, 퍼징, 그리고 딥러닝 기반 취약점 탐지 등에 의존하고 있다. 이러한 방법들은 단일 계약의 코드 결함을 식별하는 데에는 유용하지만, 실제 탈중앙화 프로젝트의 운영 환경을 충분히 반영하지 못한다는 한계가 있다. 첫째, 많은 방법이 소스코드 의존적이기 때문에 소스코드가 공개되지 않은 프로젝트에는 적용이 어렵다. 둘째, 다수의 연구는 단일 계약 수준의 분석에 머물러 프로젝트 내부 다중 계약 간의 협력 관계와 외부 프로토콜과의 연동 흐름을 충분히 포착하지 못한다. 셋째, 실행 시점의 비즈니스 로직 취약점이나 거래 경로 기반의 이상 행위를 자동으로 탐지하는 능력은 아직 제한적이다.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따라서 스마트 계약 보안을 “단일 계약”이 아니라 “프로젝트” 수준에서 이해하고 분석하는 것은 중요한 의미를 가진다. 실제 프로젝트는 여러 계약이 함께 하나의 비즈니스 기능을 구성하며, 이더리움 생태계에는 코드 재사용과 비즈니스 모델 재사용이 매우 빈번하게 발생한다. 이로 인해 유사한 비즈니스 로직을 가진 프로젝트들은 동일하거나 유사한 공격에 노출될 가능성이 높다. 만약 프로젝트 간의 비즈니스 유사성을 자동으로 식별하고, 특정 프로젝트에서 발생한 공격 정보를 유사 프로젝트에 연동 경고할 수 있다면 보안 대응의 속도와 범위를 크게 향상시킬 수 있다.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이러한 문제의식에 따라 본 연구는 “비즈니스 로직 추출–프로젝트 유사도 식별–악성 거래 탐지–위협 경고”의 흐름을 중심으로, 인공지능 기반 스마트 계약 프로젝트 자동화 악성 탐지 기술을 제안한다. 본 연구는 스마트 계약 보안 분석을 단순한 코드 검사에서 실행 행위와 프로젝트 구조 이해로 확장한다는 점에서 학술적 의의가 있으며, 실제 이더리움 생태계의 보안 대응 자동화를 향상시킬 수 있다는 점에서 실천적 가치도 가진다.</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b/>
          <w:bCs/>
          <w:sz w:val="21"/>
          <w:szCs w:val="21"/>
        </w:rPr>
      </w:pPr>
      <w:r>
        <w:rPr>
          <w:rFonts w:ascii="맑은 고딕" w:eastAsia="맑은 고딕" w:hAnsi="맑은 고딕" w:cs="맑은 고딕" w:hint="eastAsia"/>
          <w:b/>
          <w:bCs/>
          <w:sz w:val="21"/>
          <w:szCs w:val="21"/>
        </w:rPr>
        <w:t>1.2 국내외 연구 현황</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기존 연구는 대체로 네 가지 방향으로 구분할 수 있다. 첫째, 취약점 탐지 및 이상 분석 연구는 소스코드, 오퍼코드, 제어 흐름, 데이터 흐름 등의 특징을 이용하여 알려진 취약점 패턴을 식별한다. 둘째, 정적 분석 및 형식 검증 연구는 배포 이전 단계에서 잠재적 결함을 발견하는 데 초점을 둔다. 셋째, 거래 실행 과정과 공격 행위를 기반으로 하는 동적 탐지 연구는 실제 호출 경로와 상태 변화를 추적하여 이상 거래를 탐지하려 한다. 넷째, 그래프 신경망과 대형 언어 모델 등 최신 인공지능 기술을 스마트 계약 보안에 접목하는 연구가 빠르게 증가하고 있다.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이들 연구는 재진입 공격, 정수 오버플로, 접근 제어 오류, 폰지 스킴 식별, 이상 계약 판별 등 다양한 문제에서 의미 있는 성과를 보여 주었다. 그러나 세 가지 한계가 여전히 존재한다. 첫째, 대부분의 방법은 계약 코드 자체를 중심으로 하여 프로젝트 전체의 비즈니스 구조를 충분히 고려하지 못한다. 둘째, 코드 결함 탐지에는 강점을 보이지만, 복수 계약의 호출 순서와 상태 변화가 결합되어 나타나는 비즈니스 로직 수준의 공격을 식별하는 데에는 취약하다. 셋째, 인공지능 기반 방법이 도입되고는 있으나, 거래 바이트코드의 의미 정보를 충분히 활용하지 못하거나 실제 프로젝트 환경에서의 일반화 능력이 제한적이다.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특히 이더리움 기반 프로젝트는 단일 계약이 아니라 금고 계약, 발행 계약, 가격 계산 계약, 거버넌스 계약 등 여러 하위 계약으로 구성되는 경우가 많다. 실제 공격 또한 단일 함수 호출이 아니라 크로스 계약 상호작용, 외부 유동성 풀 참조, 상태 전이 왜곡 등을 포함한 복합적인 경로를 통해 발생한다. 이런 배경에서 프로젝트 단위의 비즈니스 로직을 모델링하고 실행 중인 거래의 악성 여부를 자동으로 판단하는 연구는 매우 필요한 과제로 볼 수 있다.</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b/>
          <w:bCs/>
          <w:sz w:val="21"/>
          <w:szCs w:val="21"/>
        </w:rPr>
      </w:pPr>
      <w:r>
        <w:rPr>
          <w:rFonts w:ascii="맑은 고딕" w:eastAsia="맑은 고딕" w:hAnsi="맑은 고딕" w:cs="맑은 고딕" w:hint="eastAsia"/>
          <w:b/>
          <w:bCs/>
          <w:sz w:val="21"/>
          <w:szCs w:val="21"/>
        </w:rPr>
        <w:t>1.3 연구 내용 및 방법</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본 연구는 이러한 문제를 해결하기 위해 AIB2PSec(AI-Based Blockchain Project Security) 프레임워크를 제안한다. 핵심 목표는 소스코드에 완전히 의존하지 않고, 체인 상 거래 실행 과정에서 추출되는 바이트코드, 호출 경로, 상태 변화 정보를 활용하여 스마트 계약 프로젝트의 악성 행위를 자동으로 탐지하고 경고하는 것이다. 연구 내용은 다음의 세 부분으로 구성된다.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첫째, 그래프 신경망 기반의 프로젝트 비즈니스 유사도 식별 기법을 설계한다. 프로젝트의 과거 거래 데이터에서 계약 간 호출 관계를 추출하고, 반복적으로 나타나는 안정적 호출 구조를 중심으로 비즈니스 로직 주간선 그래프를 구성한다. 이후 노드 특성, 엣지 특성, 실행 시점 정보 등을 함께 학습하여 DEX, Lending, Yield, NFT, Insurance 등 서로 다른 비즈니스 유형을 분류하고 프로젝트 간 유사성을 식별한다.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둘째, 대형 언어 모델 기반의 악성 거래 탐지 기법을 설계한다. 본 연구는 원시 바이트코드 시퀀스를 그대로 입력하지 않고, 호출 트리 복원, 자연어 문단 생성, 그래프 기반 핵심 객체 선별, 자기어텐션 기반 중요 함수 시퀀스 강화 등의 과정을 통해 거래 실행 과정을 더 읽기 쉬운 텍스트 표현으로 변환한다. 이후 LoRA 미세조정 기법을 활용하여 도메인 특화 대형 언어 모델이 복잡한 호출 경로와 상태 변화 패턴을 보다 정확하게 이해하도록 한다.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셋째, 비즈니스 유사도 식별과 악성 거래 탐지를 통합한 자동화 시스템을 구현한다. 시스템은 신규 프로젝트가 입력되면 먼저 해당 프로젝트의 비즈니스 유형과 유사 프로젝트 집합을 식별하고, 그 다음 새롭게 발생하는 거래를 실시간 또는 준실시간으로 분석한다. 악성 거래가 탐지되면 현재 프로젝트에 경고를 제공할 뿐 아니라 유사한 비즈니스 로직을 가진 다른 프로젝트에도 선제적 경고를 제공한다.</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연구 방법 측면에서 본 논문은 “체인 데이터 기반 분석 + 그래프 구조 학습 + 자연어 표현 강화 + 대형 모델 판별”이라는 통합적 접근을 취한다. 데이터는 주로 이더리움 과거 거래, 내부 호출 데이터, 프로젝트 주소 라벨, 시뮬레이션 거래로 구성되며, 연구 범위는 공개적으로 관찰 가능한 온체인 데이터로 한정한다. 개인 키, 인증 토큰, 비공개 기업 내부 데이터는 수집 및 분석 대상에서 제외하여 연구 재현성과 윤리적 타당성을 함께 확보한다.</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b/>
          <w:bCs/>
          <w:sz w:val="21"/>
          <w:szCs w:val="21"/>
        </w:rPr>
      </w:pPr>
      <w:r>
        <w:rPr>
          <w:rFonts w:ascii="맑은 고딕" w:eastAsia="맑은 고딕" w:hAnsi="맑은 고딕" w:cs="맑은 고딕" w:hint="eastAsia"/>
          <w:b/>
          <w:bCs/>
          <w:sz w:val="21"/>
          <w:szCs w:val="21"/>
        </w:rPr>
        <w:t>1.4 논문 구성</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본 논문은 총 6장으로 구성된다. 제1장은 서론으로서 연구 배경과 의의, 국내외 연구 현황, 연구 내용, 논문 구성을 제시한다. 제2장은 블록체인, 이더리움 가상머신, 그래프 신경망, 어텐션 메커니즘, 대형 언어 모델 등 본 연구의 이론적 배경을 설명한다. 제3장은 그래프 신경망 기반 비즈니스 유사도 식별 기술을 다루며, 비즈니스 주간선 그래프 추출, 특성 임베딩, 모델 설계 및 실험 평가를 포함한다. 제4장은 대형 언어 모델 기반 악성 탐지 기술을 설명하며, 거래 호출 경로 복원, 자연어 문단 생성과 강화, LoRA 미세조정 및 실험 결과를 제시한다. 제5장은 AIB2PSec 원형 시스템의 구조와 작동 흐름을 소개하고, 제6장은 전체 연구를 요약하고 향후 개선 방향을 제시한다.</w:t>
      </w:r>
    </w:p>
    <w:p>
      <w:pPr>
        <w:rPr>
          <w:rFonts w:hint="eastAsia"/>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lang/>
          <w:rFonts w:ascii="SimHei" w:eastAsia="SimHei" w:hAnsi="SimHei" w:cs="SimHei"/>
          <w:sz w:val="28"/>
          <w:szCs w:val="28"/>
          <w:rtl w:val="off"/>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lang/>
          <w:rFonts w:ascii="SimHei" w:eastAsia="SimHei" w:hAnsi="SimHei" w:cs="SimHei"/>
          <w:sz w:val="28"/>
          <w:szCs w:val="28"/>
          <w:rtl w:val="off"/>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lang/>
          <w:rFonts w:ascii="SimHei" w:eastAsia="SimHei" w:hAnsi="SimHei" w:cs="SimHei"/>
          <w:sz w:val="28"/>
          <w:szCs w:val="28"/>
          <w:rtl w:val="off"/>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lang/>
          <w:rFonts w:ascii="SimHei" w:eastAsia="SimHei" w:hAnsi="SimHei" w:cs="SimHei"/>
          <w:sz w:val="28"/>
          <w:szCs w:val="28"/>
          <w:rtl w:val="off"/>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lang/>
          <w:rFonts w:ascii="SimHei" w:eastAsia="SimHei" w:hAnsi="SimHei" w:cs="SimHei"/>
          <w:sz w:val="28"/>
          <w:szCs w:val="28"/>
          <w:rtl w:val="off"/>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lang/>
          <w:rFonts w:ascii="SimHei" w:eastAsia="SimHei" w:hAnsi="SimHei" w:cs="SimHei"/>
          <w:sz w:val="28"/>
          <w:szCs w:val="28"/>
          <w:rtl w:val="off"/>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SimHei" w:eastAsia="SimHei" w:hAnsi="SimHei" w:cs="SimHei" w:hint="eastAsia"/>
          <w:sz w:val="28"/>
          <w:szCs w:val="28"/>
        </w:rPr>
      </w:pPr>
      <w:r>
        <w:rPr>
          <w:rFonts w:ascii="SimHei" w:eastAsia="SimHei" w:hAnsi="SimHei" w:cs="SimHei" w:hint="eastAsia"/>
          <w:sz w:val="28"/>
          <w:szCs w:val="28"/>
        </w:rPr>
        <w:t>基于人工智能的智能合约项目自动化恶意检测技术</w:t>
      </w:r>
    </w:p>
    <w:p>
      <w:pPr>
        <w:rPr>
          <w:rFonts w:hint="eastAsia"/>
        </w:rPr>
      </w:pPr>
    </w:p>
    <w:p>
      <w:pPr>
        <w:adjustRightInd/>
        <w:autoSpaceDE/>
        <w:autoSpaceDN/>
        <w:topLinePunct w:val="off"/>
        <w:bidi w:val="off"/>
        <w:keepNext w:val="off"/>
        <w:keepLines w:val="off"/>
        <w:pageBreakBefore w:val="off"/>
        <w:widowControl w:val="off"/>
        <w:kinsoku/>
        <w:wordWrap/>
        <w:overflowPunct/>
        <w:snapToGrid/>
        <w:jc w:val="right"/>
        <w:spacing w:after="157" w:afterLines="50"/>
        <w:textAlignment w:val="auto"/>
        <w:rPr>
          <w:lang w:eastAsia="zh-CN"/>
          <w:rFonts w:asciiTheme="minorEastAsia" w:hAnsiTheme="minorEastAsia" w:cstheme="minorEastAsia"/>
          <w:sz w:val="28"/>
          <w:szCs w:val="28"/>
        </w:rPr>
      </w:pPr>
      <w:r>
        <w:rPr>
          <w:rFonts w:asciiTheme="minorEastAsia" w:eastAsiaTheme="minorEastAsia" w:hAnsiTheme="minorEastAsia" w:cstheme="minorEastAsia"/>
          <w:sz w:val="28"/>
          <w:szCs w:val="28"/>
        </w:rPr>
        <w:t xml:space="preserve">Submitted by :  천희 </w:t>
      </w:r>
      <w:r>
        <w:rPr>
          <w:lang w:eastAsia="zh-CN"/>
          <w:rFonts w:asciiTheme="minorEastAsia" w:hAnsiTheme="minorEastAsia" w:cstheme="minorEastAsia"/>
          <w:sz w:val="28"/>
          <w:szCs w:val="28"/>
        </w:rPr>
        <w:t>（</w:t>
      </w:r>
      <w:r>
        <w:rPr>
          <w:lang w:val="en-US" w:eastAsia="zh-CN"/>
          <w:rFonts w:asciiTheme="minorEastAsia" w:hAnsiTheme="minorEastAsia" w:cstheme="minorEastAsia"/>
          <w:sz w:val="28"/>
          <w:szCs w:val="28"/>
        </w:rPr>
        <w:t>CHEN XI</w:t>
      </w:r>
      <w:r>
        <w:rPr>
          <w:lang w:eastAsia="zh-CN"/>
          <w:rFonts w:asciiTheme="minorEastAsia" w:hAnsiTheme="minorEastAsia" w:cstheme="minorEastAsia"/>
          <w:sz w:val="28"/>
          <w:szCs w:val="28"/>
        </w:rPr>
        <w:t>）</w:t>
      </w:r>
    </w:p>
    <w:p>
      <w:pPr>
        <w:adjustRightInd/>
        <w:ind w:firstLineChars="900" w:firstLine="2520"/>
        <w:autoSpaceDE/>
        <w:autoSpaceDN/>
        <w:topLinePunct w:val="off"/>
        <w:bidi w:val="off"/>
        <w:keepNext w:val="off"/>
        <w:keepLines w:val="off"/>
        <w:pageBreakBefore w:val="off"/>
        <w:widowControl w:val="off"/>
        <w:kinsoku/>
        <w:wordWrap/>
        <w:overflowPunct/>
        <w:snapToGrid/>
        <w:jc w:val="center"/>
        <w:spacing w:after="157" w:afterLines="50"/>
        <w:textAlignment w:val="auto"/>
        <w:rPr>
          <w:lang w:val="en-US" w:eastAsia="zh-CN"/>
          <w:rFonts w:asciiTheme="minorEastAsia" w:eastAsiaTheme="minorEastAsia" w:hAnsiTheme="minorEastAsia" w:cstheme="minorEastAsia"/>
          <w:sz w:val="28"/>
          <w:szCs w:val="28"/>
        </w:rPr>
      </w:pPr>
      <w:r>
        <w:rPr>
          <w:lang w:val="en-US" w:eastAsia="zh-CN"/>
          <w:rFonts w:asciiTheme="minorEastAsia" w:hAnsiTheme="minorEastAsia" w:cstheme="minorEastAsia"/>
          <w:sz w:val="28"/>
          <w:szCs w:val="28"/>
        </w:rPr>
        <w:t xml:space="preserve">                  </w:t>
      </w:r>
      <w:r>
        <w:rPr>
          <w:lang w:val="en-US" w:eastAsia="zh-CN"/>
          <w:rFonts w:asciiTheme="minorEastAsia" w:eastAsiaTheme="minorEastAsia" w:hAnsiTheme="minorEastAsia" w:cstheme="minorEastAsia"/>
          <w:sz w:val="28"/>
          <w:szCs w:val="28"/>
        </w:rPr>
        <w:t>50250336</w:t>
      </w:r>
    </w:p>
    <w:p>
      <w:pPr>
        <w:rPr>
          <w:lang w:val="en-US" w:eastAsia="zh-CN"/>
          <w:rFonts w:hint="eastAsia"/>
        </w:rPr>
      </w:pPr>
    </w:p>
    <w:p>
      <w:pPr>
        <w:adjustRightInd/>
        <w:autoSpaceDE/>
        <w:autoSpaceDN/>
        <w:topLinePunct w:val="off"/>
        <w:bidi w:val="off"/>
        <w:keepNext w:val="off"/>
        <w:keepLines w:val="off"/>
        <w:pageBreakBefore w:val="off"/>
        <w:widowControl w:val="off"/>
        <w:kinsoku/>
        <w:wordWrap/>
        <w:overflowPunct/>
        <w:snapToGrid/>
        <w:jc w:val="center"/>
        <w:spacing w:line="360" w:lineRule="auto"/>
        <w:textAlignment w:val="auto"/>
        <w:rPr>
          <w:rFonts w:asciiTheme="minorEastAsia" w:eastAsiaTheme="minorEastAsia" w:hAnsiTheme="minorEastAsia" w:cstheme="minorEastAsia"/>
          <w:b/>
          <w:bCs/>
          <w:sz w:val="28"/>
          <w:szCs w:val="28"/>
        </w:rPr>
      </w:pPr>
      <w:r>
        <w:rPr>
          <w:rFonts w:asciiTheme="minorEastAsia" w:eastAsiaTheme="minorEastAsia" w:hAnsiTheme="minorEastAsia" w:cstheme="minorEastAsia"/>
          <w:b/>
          <w:bCs/>
          <w:sz w:val="28"/>
          <w:szCs w:val="28"/>
        </w:rPr>
        <w:t>第</w:t>
      </w:r>
      <w:r>
        <w:rPr>
          <w:lang w:val="en-US" w:eastAsia="zh-CN"/>
          <w:rFonts w:asciiTheme="minorEastAsia" w:hAnsiTheme="minorEastAsia" w:cstheme="minorEastAsia"/>
          <w:b/>
          <w:bCs/>
          <w:sz w:val="28"/>
          <w:szCs w:val="28"/>
        </w:rPr>
        <w:t>1</w:t>
      </w:r>
      <w:r>
        <w:rPr>
          <w:rFonts w:asciiTheme="minorEastAsia" w:eastAsiaTheme="minorEastAsia" w:hAnsiTheme="minorEastAsia" w:cstheme="minorEastAsia"/>
          <w:b/>
          <w:bCs/>
          <w:sz w:val="28"/>
          <w:szCs w:val="28"/>
        </w:rPr>
        <w:t>章 绪论</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b/>
          <w:bCs/>
          <w:sz w:val="21"/>
          <w:szCs w:val="21"/>
        </w:rPr>
      </w:pPr>
      <w:r>
        <w:rPr>
          <w:rFonts w:asciiTheme="minorEastAsia" w:eastAsiaTheme="minorEastAsia" w:hAnsiTheme="minorEastAsia" w:cstheme="minorEastAsia"/>
          <w:b/>
          <w:bCs/>
          <w:sz w:val="21"/>
          <w:szCs w:val="21"/>
        </w:rPr>
        <w:t>1.1 研究背景与意义</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随着互联网基础设施持续演进，Web3.0逐渐由概念走向应用，区块链作为其关键底层技术，正在金融、数字资产流通、去中心化治理与链上协作等场景中发挥越来越重要的作用。其中，以太坊凭借智能合约机制构建了大规模去中心化应用生态，使“自动执行的业务规则”成为现实，也推动了DeFi、NFT、链上保险和借贷等新型业务形态的快速发展。</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然而，智能合约在提升自动化与透明度的同时，也将复杂业务逻辑直接暴露在开放网络环境中。一旦合约设计、权限控制、状态更新流程或跨合约调用关系存在缺陷，攻击者便可能通过重入攻击、闪电贷攻击、价格操纵、拒绝服务或抢跑等方式发起恶意交易，从而引发资金损失、协议失效乃至生态层面的连锁风险。现有研究材料表明，区块链生态在2024年仍然出现了大量安全事件，经济损失规模显著，这说明智能合约安全问题依然是以太坊生态持续发展的核心约束之一。</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从研究与工程实践来看，目前针对智能合约安全的主要方法包括人工审计、静态分析、形式化验证、模糊测试以及基于深度学习的漏洞检测等。这些方法在发现单合约代码缺陷方面具有重要价值，但也存在较为明显的局限。第一，许多方法高度依赖源代码，而现实中大量项目并不公开完整源码，导致方法适用范围受限。第二，大多数研究以单个合约为分析对象，难以充分刻画项目内部多个合约之间的协同关系以及与外部协议之间的交互路径。第三，针对真实链上业务逻辑的异常检测仍然自动化程度不足，尤其难以识别由调用顺序、状态变化与业务规则偏移共同造成的“项目级”恶意行为。</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因此，从“项目级”而非“单合约级”视角研究智能合约安全具有重要理论与实践意义。一方面，项目往往由多个合约共同实现完整业务，单一合约分析无法覆盖真实运行语境下的攻击面；另一方面，以太坊生态中存在大量代码复用与业务模式复用现象，同类项目常因共享业务逻辑而面对相似风险。若能够识别项目之间的业务相似性，并在某一项目遭受攻击后对相似项目进行联动预警，则有望显著提升智能合约安全防护的时效性、覆盖性与针对性。</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基于上述问题，本研究围绕“业务逻辑提取—项目相似性识别—恶意交易检测—风险预警”这一主线展开，提出一种基于人工智能的智能合约项目自动化恶意检测技术。该研究不仅有助于推动以太坊项目安全分析从源码审计走向运行时行为理解，也有助于构建更加全面、快速且具可扩展性的去中心化应用安全防护体系。</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b/>
          <w:bCs/>
          <w:sz w:val="21"/>
          <w:szCs w:val="21"/>
        </w:rPr>
      </w:pPr>
      <w:r>
        <w:rPr>
          <w:rFonts w:asciiTheme="minorEastAsia" w:eastAsiaTheme="minorEastAsia" w:hAnsiTheme="minorEastAsia" w:cstheme="minorEastAsia"/>
          <w:b/>
          <w:bCs/>
          <w:sz w:val="21"/>
          <w:szCs w:val="21"/>
        </w:rPr>
        <w:t>1.2 国内外研究现状</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现有相关研究大致可分为四个方向。其一是漏洞检测与异常分析研究，主要通过源代码、操作码、控制流图、数据流图或合约行为特征来识别已知漏洞模式。其二是静态分析与形式化验证研究，重点在于在部署前发现潜在的控制缺陷和状态错误。其三是面向交易和攻击行为的动态检测研究，尝试从链上交易执行过程中识别异常调用路径与状态变化。其四是大语言模型、图神经网络等新型人工智能技术在智能合约安全中的应用研究。</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总体而言，现有方法已经在重入漏洞、整数溢出、访问控制错误、庞氏骗局识别和异常合约识别等方面取得了较多成果，但仍然存在三个值得重视的问题。首先，研究对象多集中于合约代码本身，对项目层面的业务骨架、跨合约调用结构以及运行时交互关系关注不足。其次，很多方法更擅长发现“代码缺陷”，却较难识别并非由单一语句错误引起、而是由业务流程设计缺陷导致的逻辑性攻击。再次，虽然部分研究已经引入图神经网络或大语言模型，但对交易字节码中的语义信息利用仍不充分，对真实项目场景的泛化能力和自动化程度还有提升空间。</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特别是在以太坊生态中，项目往往并不是独立运作的单个合约，而是由金库合约、铸币合约、价格计算合约、治理合约、流动性管理合约等共同构成复杂系统。攻击者也越来越倾向于利用跨协议、跨合约、跨状态链路实施恶意交易。在这种背景下，仅依赖单合约源码分析已难以满足实际防护需求，如何从项目粒度刻画业务逻辑并对运行中的恶意交易实现自动识别，成为当前研究中的关键问题。</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b/>
          <w:bCs/>
          <w:sz w:val="21"/>
          <w:szCs w:val="21"/>
        </w:rPr>
      </w:pPr>
      <w:r>
        <w:rPr>
          <w:rFonts w:asciiTheme="minorEastAsia" w:eastAsiaTheme="minorEastAsia" w:hAnsiTheme="minorEastAsia" w:cstheme="minorEastAsia"/>
          <w:b/>
          <w:bCs/>
          <w:sz w:val="21"/>
          <w:szCs w:val="21"/>
        </w:rPr>
        <w:t>1.3 研究内容与方法</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针对上述问题，本文提出AIB2PSec（AI-Based Blockchain Project Security）技术框架，核心目标是在不完全依赖源代码的前提下，基于链上交易执行过程中的字节码、调用路径和状态变化信息，对智能合约项目实施自动化恶意检测与预警。研究内容主要包括以下三个方面。</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第一，构建基于图神经网络的项目业务相似性识别方法。本文从项目历史交易中提取智能合约之间的调用关系，设计业务逻辑主干图抽取机制，将项目内部高频、稳定且具有代表性的调用关系沉淀为结构化图表示。在此基础上，综合节点特征、边特征与运行时业务信息，利用图神经网络学习项目层面的业务表征，实现对DEX、Lending、Yield、NFT、Insurance等不同类型项目的业务分类与相似性识别。</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第二，设计基于大语言模型的恶意交易检测方法。本文不直接将原始字节码序列输入模型，而是通过调用树恢复、自然语段生成、图卷积筛选和自注意力增强等技术，将交易执行过程转换为逻辑更连贯、语义更明确的文本描述，并结合LoRA微调机制提升垂直领域大语言模型对恶意交易的识别能力。该方法旨在增强模型对复杂调用路径、关键函数序列、状态变化模式以及异常业务逻辑的理解。</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第三，集成业务相似性识别与恶意检测能力，形成面向智能合约项目的自动化检测系统。系统在项目接入后，首先识别其业务类别与相似项目集合；在此基础上，对新产生的交易进行实时或准实时分析；当检测到恶意行为时，不仅对当前项目发出警报，也向业务逻辑相近的项目给出风险预警。</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在研究方法上，本文采用“链上数据驱动 + 图结构建模 + 自然语言表达增强 + 大模型判别”的综合方案。研究数据主要来源于以太坊历史交易、内部调用数据、项目地址标签以及模拟生成交易，研究对象限定为公开链上可观测数据，不涉及用户私钥、身份认证信息及非公开企业内部数据。该方法既保持了研究的可复现性，也符合数据使用与伦理边界要求。</w:t>
      </w:r>
    </w:p>
    <w:p>
      <w:pPr>
        <w:adjustRightInd/>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b/>
          <w:bCs/>
          <w:sz w:val="21"/>
          <w:szCs w:val="21"/>
        </w:rPr>
      </w:pPr>
      <w:r>
        <w:rPr>
          <w:rFonts w:asciiTheme="minorEastAsia" w:eastAsiaTheme="minorEastAsia" w:hAnsiTheme="minorEastAsia" w:cstheme="minorEastAsia"/>
          <w:b/>
          <w:bCs/>
          <w:sz w:val="21"/>
          <w:szCs w:val="21"/>
        </w:rPr>
        <w:t>1.4 论文结构</w:t>
      </w:r>
    </w:p>
    <w:p>
      <w:pPr>
        <w:adjustRightInd/>
        <w:ind w:firstLineChars="200" w:firstLine="420"/>
        <w:autoSpaceDE/>
        <w:autoSpaceDN/>
        <w:topLinePunct w:val="off"/>
        <w:bidi w:val="off"/>
        <w:keepNext w:val="off"/>
        <w:keepLines w:val="off"/>
        <w:pageBreakBefore w:val="off"/>
        <w:widowControl w:val="off"/>
        <w:kinsoku/>
        <w:wordWrap/>
        <w:overflowPunct/>
        <w:snapToGrid/>
        <w:spacing w:line="360" w:lineRule="auto"/>
        <w:textAlignment w:val="auto"/>
        <w:rPr>
          <w:rFonts w:asciiTheme="minorEastAsia" w:eastAsiaTheme="minorEastAsia" w:hAnsiTheme="minorEastAsia" w:cstheme="minorEastAsia"/>
          <w:sz w:val="21"/>
          <w:szCs w:val="21"/>
        </w:rPr>
      </w:pPr>
      <w:r>
        <w:rPr>
          <w:rFonts w:asciiTheme="minorEastAsia" w:eastAsiaTheme="minorEastAsia" w:hAnsiTheme="minorEastAsia" w:cstheme="minorEastAsia"/>
          <w:sz w:val="21"/>
          <w:szCs w:val="21"/>
        </w:rPr>
        <w:t>本文共分为六章。第一章为绪论，主要介绍研究背景、研究意义、国内外研究现状、研究内容与论文结构。第二章介绍研究涉及的理论基础，包括区块链、以太坊虚拟机、图神经网络、注意力机制与大语言模型等。第三章重点阐述基于图神经网络的业务相似性识别技术，包括业务主干图提取、图特征嵌入表达、模型构建及实验评估。第四章重点介绍基于大语言模型的恶意检测技术，包括交易调用路径还原、自然语段生成与增强、LoRA微调及检测实验。第五章给出AIB2PSec原型系统的整体架构、模块设计与运行流程。第六章对全文进行总结，并讨论后续可改进方向。</w:t>
      </w:r>
    </w:p>
    <w:p>
      <w:pPr>
        <w:rPr>
          <w:rFonts w:hint="eastAsia"/>
        </w:rPr>
      </w:pPr>
    </w:p>
    <w:p>
      <w:pPr>
        <w:bidi w:val="off"/>
        <w:jc w:val="both"/>
        <w:spacing w:lineRule="auto"/>
        <w:rPr>
          <w:rFonts w:eastAsia="맑은 고딕"/>
          <w:color w:val="000011"/>
          <w:sz w:val="20"/>
        </w:rPr>
      </w:pPr>
    </w:p>
    <w:sectPr>
      <w:pgSz w:w="11906" w:h="16838"/>
      <w:pgMar w:top="1440" w:right="1800" w:bottom="1440" w:left="1800" w:header="851" w:footer="992" w:gutter="0"/>
      <w:cols/>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SimHei">
    <w:panose1 w:val="02010600030101010101"/>
    <w:notTrueType w:val="false"/>
    <w:sig w:usb0="00000001" w:usb1="080E0000" w:usb2="00000001" w:usb3="00000001" w:csb0="00040000"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70"/>
  <w:drawingGridVerticalSpacing w:val="170"/>
  <w:displayHorizontalDrawingGridEvery w:val="2"/>
  <w:displayVerticalDrawingGridEvery w:val="2"/>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WPS">
  <a:themeElements>
    <a:clrScheme name="WPS">
      <a:dk1>
        <a:sysClr lastClr="000000" val="windowText"/>
      </a:dk1>
      <a:lt1>
        <a:sysClr lastClr="FFFFFF" val="window"/>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a:solidFill>
            <a:schemeClr val="phClr"/>
          </a:solidFill>
          <a:miter lim="800000"/>
        </a:ln>
        <a:ln w="12700">
          <a:solidFill>
            <a:schemeClr val="phClr"/>
          </a:solidFill>
          <a:miter lim="800000"/>
        </a:ln>
        <a:ln w="12700">
          <a:gradFill flip="none" rotWithShape="1">
            <a:gsLst>
              <a:gs pos="0">
                <a:schemeClr val="phClr"/>
              </a:gs>
              <a:gs pos="100000">
                <a:schemeClr val="phClr"/>
              </a:gs>
            </a:gsLst>
            <a:lin ang="2700000"/>
            <a:tileRect/>
          </a:gra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1303-07</dc:creator>
  <cp:keywords/>
  <dc:description/>
  <cp:lastModifiedBy>1303-07</cp:lastModifiedBy>
  <cp:revision>1</cp:revision>
  <dcterms:modified xsi:type="dcterms:W3CDTF">2026-04-29T02:58:40Z</dcterms:modified>
  <cp:version>0900.0001.01</cp:version>
</cp:coreProperties>
</file>