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公文管理知识速记手册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【公文行文方向】</w:t>
      </w:r>
    </w:p>
    <w:p>
      <w:r>
        <w:rPr>
          <w:rFonts w:ascii="微软雅黑" w:hAnsi="微软雅黑" w:eastAsia="微软雅黑"/>
          <w:sz w:val="22"/>
        </w:rPr>
        <w:t>1. 按照行文关系，公文可分为上行文、平行文、下行文三种。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文件→文；添加顿号</w:t>
      </w:r>
    </w:p>
    <w:p>
      <w:r>
        <w:rPr>
          <w:rFonts w:ascii="微软雅黑" w:hAnsi="微软雅黑" w:eastAsia="微软雅黑"/>
          <w:sz w:val="22"/>
        </w:rPr>
        <w:t>2. 上行文：指下级机关或业务部门向所属上级领导机关或业务主管部门的行文。如请示、报告。其行文方式有逐级行文、多级行文、越级行文三种。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一种行文→的行文；句号→顿号</w:t>
      </w:r>
    </w:p>
    <w:p>
      <w:r>
        <w:rPr>
          <w:rFonts w:ascii="微软雅黑" w:hAnsi="微软雅黑" w:eastAsia="微软雅黑"/>
          <w:sz w:val="22"/>
        </w:rPr>
        <w:t>3. 请示、报告、议案三者统称为呈请性公文。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</w:t>
      </w:r>
    </w:p>
    <w:p>
      <w:r>
        <w:rPr>
          <w:rFonts w:ascii="微软雅黑" w:hAnsi="微软雅黑" w:eastAsia="微软雅黑"/>
          <w:sz w:val="22"/>
        </w:rPr>
        <w:t>4. 下行文：指上级机关对所属下级机关的发文。如命令、指令、意见、决定、决议、布告、公告、通告、通知、通报、批复等。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发文如→发文。如；句号→顿号（多处）</w:t>
      </w:r>
    </w:p>
    <w:p>
      <w:r>
        <w:rPr>
          <w:rFonts w:ascii="微软雅黑" w:hAnsi="微软雅黑" w:eastAsia="微软雅黑"/>
          <w:sz w:val="22"/>
        </w:rPr>
        <w:t>5. 平行文：指同级机关，或者不相隶属的、没有领导与指导关系的机关、部门、单位之间的行文。主要是函，也包括一些通知、通报、纪要。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式者→或者；句号→顿号（多处）</w:t>
      </w:r>
    </w:p>
    <w:p>
      <w:r>
        <w:rPr>
          <w:rFonts w:ascii="微软雅黑" w:hAnsi="微软雅黑" w:eastAsia="微软雅黑"/>
          <w:sz w:val="22"/>
        </w:rPr>
        <w:t>6. 联系类公文是机关或单位之间相互商洽工作、询问和答复问题的公文，行文方向为平行文。主要的联系类公文有：函、纪要、通知、意见、通报。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商治→商洽；幽→函；添加顿号</w:t>
      </w:r>
    </w:p>
    <w:p>
      <w:r>
        <w:rPr>
          <w:rFonts w:ascii="微软雅黑" w:hAnsi="微软雅黑" w:eastAsia="微软雅黑"/>
          <w:sz w:val="22"/>
        </w:rPr>
        <w:t>7. 越级行文指下级机关在特殊情况下，越过直接上级向更高一级领导机关行文。以下几种特殊情况（一般不得越级行文）：</w:t>
      </w:r>
    </w:p>
    <w:p>
      <w:r>
        <w:rPr>
          <w:rFonts w:ascii="微软雅黑" w:hAnsi="微软雅黑" w:eastAsia="微软雅黑"/>
          <w:sz w:val="22"/>
        </w:rPr>
        <w:t xml:space="preserve">    （1）遇特殊重大紧急情况（如战争、天灾），如逐级上报会延误时机；</w:t>
      </w:r>
    </w:p>
    <w:p>
      <w:r>
        <w:rPr>
          <w:rFonts w:ascii="微软雅黑" w:hAnsi="微软雅黑" w:eastAsia="微软雅黑"/>
          <w:sz w:val="22"/>
        </w:rPr>
        <w:t xml:space="preserve">    （2）经多次请示直接上级，长期未得到解决的重大问题；</w:t>
      </w:r>
    </w:p>
    <w:p>
      <w:r>
        <w:rPr>
          <w:rFonts w:ascii="微软雅黑" w:hAnsi="微软雅黑" w:eastAsia="微软雅黑"/>
          <w:sz w:val="22"/>
        </w:rPr>
        <w:t xml:space="preserve">    （3）上级领导或领导机关交办，并指定越级上报的事项；</w:t>
      </w:r>
    </w:p>
    <w:p>
      <w:r>
        <w:rPr>
          <w:rFonts w:ascii="微软雅黑" w:hAnsi="微软雅黑" w:eastAsia="微软雅黑"/>
          <w:sz w:val="22"/>
        </w:rPr>
        <w:t xml:space="preserve">    （4）对直接上级机关或领导进行检举、控告；</w:t>
      </w:r>
    </w:p>
    <w:p>
      <w:r>
        <w:rPr>
          <w:rFonts w:ascii="微软雅黑" w:hAnsi="微软雅黑" w:eastAsia="微软雅黑"/>
          <w:sz w:val="22"/>
        </w:rPr>
        <w:t xml:space="preserve">    （5）直接上下级机关有争议而无法解决的重大问题；</w:t>
      </w:r>
    </w:p>
    <w:p>
      <w:r>
        <w:rPr>
          <w:rFonts w:ascii="微软雅黑" w:hAnsi="微软雅黑" w:eastAsia="微软雅黑"/>
          <w:sz w:val="22"/>
        </w:rPr>
        <w:t xml:space="preserve">    （6）询问、联系无需经过直接上级机关的一些工作问题等；</w:t>
      </w:r>
    </w:p>
    <w:p>
      <w:r>
        <w:rPr>
          <w:rFonts w:ascii="微软雅黑" w:hAnsi="微软雅黑" w:eastAsia="微软雅黑"/>
          <w:sz w:val="22"/>
        </w:rPr>
        <w:t xml:space="preserve">    （7）在市场经济中，为使文件精神尽快与群众见面，以使更好贯彻执行，采用电视、电话、广播、报刊等方式行文。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下以→以下；紧急，情况→紧急情况；天定→天灾；延级→逐级；式→或（第4条）；由→（删除多余字，第5条）；电视，电脑→电视、电话（'电脑'疑似OCR误识别，公共行政语境通常为电视、电话、广播、报刊）</w:t>
      </w:r>
    </w:p>
    <w:p>
      <w:r>
        <w:rPr>
          <w:rFonts w:ascii="微软雅黑" w:hAnsi="微软雅黑" w:eastAsia="微软雅黑"/>
          <w:b/>
          <w:color w:val="BF8F00"/>
          <w:sz w:val="28"/>
        </w:rPr>
        <w:t>【公文文种】</w:t>
      </w:r>
    </w:p>
    <w:p>
      <w:r>
        <w:rPr>
          <w:rFonts w:ascii="微软雅黑" w:hAnsi="微软雅黑" w:eastAsia="微软雅黑"/>
          <w:sz w:val="22"/>
        </w:rPr>
        <w:t>8. 通知：用于发布、传达要求下级机关执行和有关单位周知或执行的事项，批转、转发公文。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</w:t>
      </w:r>
    </w:p>
    <w:p>
      <w:r>
        <w:rPr>
          <w:rFonts w:ascii="微软雅黑" w:hAnsi="微软雅黑" w:eastAsia="微软雅黑"/>
          <w:sz w:val="22"/>
        </w:rPr>
        <w:t>9. 通告：适用于在一定范围内公布应当遵守或者周知的事项。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国知→周知</w:t>
      </w:r>
    </w:p>
    <w:p>
      <w:r>
        <w:rPr>
          <w:rFonts w:ascii="微软雅黑" w:hAnsi="微软雅黑" w:eastAsia="微软雅黑"/>
          <w:sz w:val="22"/>
        </w:rPr>
        <w:t>10. 通报：适用于表彰先进、批评错误、传达重要精神和告知重要情况。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逗号→顿号；顿号→逗号（批评错误后）</w:t>
      </w:r>
    </w:p>
    <w:p>
      <w:r>
        <w:rPr>
          <w:rFonts w:ascii="微软雅黑" w:hAnsi="微软雅黑" w:eastAsia="微软雅黑"/>
          <w:sz w:val="22"/>
        </w:rPr>
        <w:t>11. 决定：适用于对重要事项作出决策和部署、奖惩有关单位和人员、变更或者撤销下级机关不适当的决定事项。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逗号→顿号（多处）</w:t>
      </w:r>
    </w:p>
    <w:p>
      <w:r>
        <w:rPr>
          <w:rFonts w:ascii="微软雅黑" w:hAnsi="微软雅黑" w:eastAsia="微软雅黑"/>
          <w:b/>
          <w:color w:val="C00000"/>
          <w:sz w:val="28"/>
        </w:rPr>
        <w:t>【公文格式与效力】</w:t>
      </w:r>
    </w:p>
    <w:p>
      <w:r>
        <w:rPr>
          <w:rFonts w:ascii="微软雅黑" w:hAnsi="微软雅黑" w:eastAsia="微软雅黑"/>
          <w:sz w:val="22"/>
        </w:rPr>
        <w:t>12. 公文被撤销，视为自始无效；公文被废止，视为自废止之日起失效。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废上→废止；视身废止可起失→视为自废止之日起失；合并为完整语句</w:t>
      </w:r>
    </w:p>
    <w:p>
      <w:r>
        <w:rPr>
          <w:rFonts w:ascii="微软雅黑" w:hAnsi="微软雅黑" w:eastAsia="微软雅黑"/>
          <w:sz w:val="22"/>
        </w:rPr>
        <w:t>13. 有特定发文机关标志的普发性公文和电报可以不加盖印章。有发文机关署名的，应当加盖发文机关印章。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删除多余换行</w:t>
      </w:r>
    </w:p>
    <w:p>
      <w:r>
        <w:rPr>
          <w:rFonts w:ascii="微软雅黑" w:hAnsi="微软雅黑" w:eastAsia="微软雅黑"/>
          <w:sz w:val="22"/>
        </w:rPr>
        <w:t>14. 成文日期署会议通过或者发文机关负责人签发的日期。联合行文时，署最后签发机关负责人签发的日期。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无错别字，仅删除标点异常</w:t>
      </w:r>
    </w:p>
    <w:p>
      <w:r>
        <w:rPr>
          <w:rFonts w:ascii="微软雅黑" w:hAnsi="微软雅黑" w:eastAsia="微软雅黑"/>
          <w:b/>
          <w:color w:val="2E75B6"/>
          <w:sz w:val="28"/>
        </w:rPr>
        <w:t>【政府绩效评估】</w:t>
      </w:r>
    </w:p>
    <w:p>
      <w:r>
        <w:rPr>
          <w:rFonts w:ascii="微软雅黑" w:hAnsi="微软雅黑" w:eastAsia="微软雅黑"/>
          <w:sz w:val="22"/>
        </w:rPr>
        <w:t>15. 在绩效评估体系中主要看绩效指标，而在政府部门的绩效指标中可以分四个方面：业绩、效率、效能、成本。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添加逗号；且绩→业绩；句号→顿号</w:t>
      </w:r>
    </w:p>
    <w:p>
      <w:r>
        <w:rPr>
          <w:rFonts w:ascii="微软雅黑" w:hAnsi="微软雅黑" w:eastAsia="微软雅黑"/>
          <w:sz w:val="22"/>
        </w:rPr>
        <w:t>16. 业绩指标通常包括：公共服务的数量和质量、公共管理目标的实现情况、政策制定水平与实施效果、公共管理的效益、公民对公共管理和公共服务的满意程度等。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此绩→业绩；数量和质量。公共→数量和质量、公共</w:t>
      </w:r>
    </w:p>
    <w:p>
      <w:r>
        <w:rPr>
          <w:rFonts w:ascii="微软雅黑" w:hAnsi="微软雅黑" w:eastAsia="微软雅黑"/>
          <w:sz w:val="22"/>
        </w:rPr>
        <w:t>17. 效能指标包括行为的合理化水平、政府机关效能。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</w:t>
      </w:r>
    </w:p>
    <w:p>
      <w:r>
        <w:rPr>
          <w:rFonts w:ascii="微软雅黑" w:hAnsi="微软雅黑" w:eastAsia="微软雅黑"/>
          <w:sz w:val="22"/>
        </w:rPr>
        <w:t>18. 效率指标包括提供公共服务与产品的单位成本、服务与产品的数目、公共政策执行的开支、政府部门的办公物品损耗费用等。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逗号→顿号；数目公共→数目、公共；开支。政府→开支、政府</w:t>
      </w:r>
    </w:p>
    <w:p>
      <w:r>
        <w:rPr>
          <w:rFonts w:ascii="微软雅黑" w:hAnsi="微软雅黑" w:eastAsia="微软雅黑"/>
          <w:sz w:val="22"/>
        </w:rPr>
        <w:t>19. 成本指标包括政府部门占用的人力、物力和财力，以及政府部门的支出。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人力物力和→人力、物力和；。以及→、以及</w:t>
      </w:r>
    </w:p>
    <w:p>
      <w:r>
        <w:rPr>
          <w:rFonts w:ascii="微软雅黑" w:hAnsi="微软雅黑" w:eastAsia="微软雅黑"/>
          <w:b/>
          <w:color w:val="548235"/>
          <w:sz w:val="28"/>
        </w:rPr>
        <w:t>【组织沟通模式】</w:t>
      </w:r>
    </w:p>
    <w:p>
      <w:r>
        <w:rPr>
          <w:rFonts w:ascii="微软雅黑" w:hAnsi="微软雅黑" w:eastAsia="微软雅黑"/>
          <w:sz w:val="22"/>
        </w:rPr>
        <w:t>20. 环式沟通特点：</w:t>
      </w:r>
    </w:p>
    <w:p>
      <w:r>
        <w:rPr>
          <w:rFonts w:ascii="微软雅黑" w:hAnsi="微软雅黑" w:eastAsia="微软雅黑"/>
          <w:sz w:val="22"/>
        </w:rPr>
        <w:t xml:space="preserve">    1. 封闭式控制结构，相当于链式两头相联结；</w:t>
      </w:r>
    </w:p>
    <w:p>
      <w:r>
        <w:rPr>
          <w:rFonts w:ascii="微软雅黑" w:hAnsi="微软雅黑" w:eastAsia="微软雅黑"/>
          <w:sz w:val="22"/>
        </w:rPr>
        <w:t xml:space="preserve">    2. 每个人同时可以与两侧沟通，地位平等；</w:t>
      </w:r>
    </w:p>
    <w:p>
      <w:r>
        <w:rPr>
          <w:rFonts w:ascii="微软雅黑" w:hAnsi="微软雅黑" w:eastAsia="微软雅黑"/>
          <w:sz w:val="22"/>
        </w:rPr>
        <w:t xml:space="preserve">    3. 组织的集中化程度和领导人预测程度较低，沟通速度较慢；</w:t>
      </w:r>
    </w:p>
    <w:p>
      <w:r>
        <w:rPr>
          <w:rFonts w:ascii="微软雅黑" w:hAnsi="微软雅黑" w:eastAsia="微软雅黑"/>
          <w:sz w:val="22"/>
        </w:rPr>
        <w:t xml:space="preserve">    4. 组织成员满意度高，适于创造高昂的士气。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1封闭→1.封闭；相当子→相当于；链连式→链式；牙两侧沟→与两侧沟通；3→3.；。打通→，沟通；4→4.</w:t>
      </w:r>
    </w:p>
    <w:p>
      <w:r>
        <w:rPr>
          <w:rFonts w:ascii="微软雅黑" w:hAnsi="微软雅黑" w:eastAsia="微软雅黑"/>
          <w:b/>
          <w:color w:val="7030A0"/>
          <w:sz w:val="28"/>
        </w:rPr>
        <w:t>【公共服务】</w:t>
      </w:r>
    </w:p>
    <w:p>
      <w:r>
        <w:rPr>
          <w:rFonts w:ascii="微软雅黑" w:hAnsi="微软雅黑" w:eastAsia="微软雅黑"/>
          <w:sz w:val="22"/>
        </w:rPr>
        <w:t>21. 分众式公共服务：按不同标准区分群体，分众问需、分类施策，推行分众化特色服务，进一步满足多元服务需求，确保把民生落到实处。</w:t>
      </w:r>
    </w:p>
    <w:p>
      <w:pPr>
        <w:spacing w:before="0" w:after="80"/>
      </w:pPr>
      <w:r>
        <w:rPr>
          <w:rFonts w:ascii="微软雅黑" w:hAnsi="微软雅黑" w:eastAsia="微软雅黑"/>
          <w:color w:val="C00000"/>
          <w:sz w:val="18"/>
        </w:rPr>
        <w:t xml:space="preserve">  ✏️ 群体。分众→群体，分众；问需。分类→问需、分类；服务进一步→服务，进一步；补充完整句尾（落到实处）</w:t>
      </w:r>
    </w:p>
    <w:p/>
    <w:p>
      <w:pPr>
        <w:jc w:val="left"/>
      </w:pPr>
      <w:r>
        <w:rPr>
          <w:b/>
          <w:color w:val="555555"/>
          <w:sz w:val="24"/>
        </w:rPr>
        <w:t>— 整理摘要 —</w:t>
      </w:r>
    </w:p>
    <w:p>
      <w:r>
        <w:rPr>
          <w:color w:val="555555"/>
          <w:sz w:val="20"/>
        </w:rPr>
        <w:t>共整理 21 条知识点</w:t>
      </w:r>
    </w:p>
    <w:p>
      <w:r>
        <w:rPr>
          <w:color w:val="555555"/>
          <w:sz w:val="20"/>
        </w:rPr>
        <w:t>分 6 个类别：公文行文方向, 公文文种, 公文格式与效力, 政府绩效评估, 组织沟通模式, 公共服务</w:t>
      </w:r>
    </w:p>
    <w:p>
      <w:r>
        <w:rPr>
          <w:color w:val="555555"/>
          <w:sz w:val="20"/>
        </w:rPr>
        <w:t>主要纠错类型：OCR错别字（幽→函、商治→商洽、且绩→业绩等）、标点符号误用（句号→顿号/逗号→顿号）、多余换行和乱码字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