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微软雅黑" w:cs="微软雅黑" w:eastAsia="微软雅黑" w:hAnsi="微软雅黑"/>
          <w:b/>
          <w:bCs/>
          <w:color w:val="1F2328"/>
          <w:sz w:val="40"/>
          <w:szCs w:val="40"/>
        </w:rPr>
        <w:t xml:space="preserve">A股量化复盘报告</w:t>
      </w:r>
    </w:p>
    <w:p>
      <w:pPr>
        <w:spacing w:after="240" w:before="0"/>
        <w:jc w:val="center"/>
      </w:pP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交易日 2026-08-13　|　上一交易日 2026-08-12　|　生成于 2026/8/13 15:26:08</w:t>
      </w:r>
    </w:p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量化行情评级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color w:val="138D5F"/>
          <w:sz w:val="56"/>
          <w:szCs w:val="56"/>
        </w:rPr>
        <w:t xml:space="preserve">3.3</w:t>
      </w:r>
      <w:r>
        <w:rPr>
          <w:rFonts w:ascii="微软雅黑" w:cs="微软雅黑" w:eastAsia="微软雅黑" w:hAnsi="微软雅黑"/>
          <w:color w:val="6B7280"/>
          <w:sz w:val="22"/>
          <w:szCs w:val="22"/>
        </w:rPr>
        <w:t xml:space="preserve"> / 10　</w:t>
      </w: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偏弱</w:t>
      </w:r>
    </w:p>
    <w:p>
      <w:pPr>
        <w:spacing w:after="160" w:before="0"/>
      </w:pPr>
      <w:r>
        <w:rPr>
          <w:rFonts w:ascii="微软雅黑" w:cs="微软雅黑" w:eastAsia="微软雅黑" w:hAnsi="微软雅黑"/>
          <w:color w:val="6B7280"/>
          <w:sz w:val="19"/>
          <w:szCs w:val="19"/>
        </w:rPr>
        <w:t xml:space="preserve">资金流出、情绪退潮，宜降低仓位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type="pct" w:w="1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权重</w:t>
            </w:r>
          </w:p>
        </w:tc>
        <w:tc>
          <w:tcPr>
            <w:tcW w:type="pct" w:w="1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得分</w:t>
            </w:r>
          </w:p>
        </w:tc>
        <w:tc>
          <w:tcPr>
            <w:tcW w:type="pct" w:w="6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主要构成指标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大盘结构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30%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3.25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涨跌比 21.19%(0.2分)；个股中位涨跌 -1.41%(2.0分)；核心指数均涨跌 -0.68%(2.6分)；涨停-跌停净差 55.00家(8.3分)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资金流向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30%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1.79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两市主力净流入 -2912亿(0.0分)；板块净流入宽度 24.58%(1.4分)；个股资金宽度 37.16%(3.9分)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短线情绪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25%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4.00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综合晋级率 22.83%(3.5分)；炸板率(反向) 37.89%(4.5分)；涨停家数 59.00家(6.3分)；封板稳固率 57.63%(2.2分)；连板高度变化 -2.00板(1.5分)；昨涨停今日均涨 0.80%(6.0分)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量能活跃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15%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B7280"/>
                <w:sz w:val="18"/>
                <w:szCs w:val="18"/>
              </w:rPr>
              <w:t xml:space="preserve">5.50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成交量/5日均量 1.05倍(5.7分)；激烈换手股占比 5.85%(5.0分)；全市场平均换手 3.25%(5.8分)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一、大盘结构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指数</w:t>
            </w:r>
          </w:p>
        </w:tc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收盘</w:t>
            </w:r>
          </w:p>
        </w:tc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涨跌幅</w:t>
            </w:r>
          </w:p>
        </w:tc>
        <w:tc>
          <w:tcPr>
            <w:tcW w:type="pct" w:w="2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成交额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上证指数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3926.96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-0.50%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1.16万亿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深证成指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14289.44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-0.87%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1.39万亿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创业板指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3586.04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-0.45%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6652.49亿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科创50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1717.75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-1.11%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1256.77亿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沪深300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4663.95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-0.57%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6907.16亿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中证1000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7715.89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-1.00%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5647.58亿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国证2000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10036.35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-1.07%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7557.61亿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市场广度</w:t>
            </w:r>
          </w:p>
        </w:tc>
        <w:tc>
          <w:tcPr>
            <w:tcW w:type="pct" w:w="2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数值</w:t>
            </w:r>
          </w:p>
        </w:tc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量能活跃</w:t>
            </w:r>
          </w:p>
        </w:tc>
        <w:tc>
          <w:tcPr>
            <w:tcW w:type="pct" w:w="2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数值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上涨 / 下跌 / 平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1100 / 4091 / 92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两市成交额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2.55万亿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涨跌比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21.2%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量能状态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量能持平（1.05倍5日均量）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涨停 / 跌停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59 / 4（净差 +55）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资金活跃度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中性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个股中位涨跌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-1.41%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激烈换手股(≥10%)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309 只 / 5.8%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二、资金流向</w:t>
      </w:r>
    </w:p>
    <w:p>
      <w:pPr>
        <w:spacing w:after="100"/>
      </w:pPr>
      <w:r>
        <w:rPr>
          <w:rFonts w:ascii="微软雅黑" w:cs="微软雅黑" w:eastAsia="微软雅黑" w:hAnsi="微软雅黑"/>
          <w:sz w:val="20"/>
          <w:szCs w:val="20"/>
        </w:rPr>
        <w:t xml:space="preserve">两市主力净流入：</w:t>
      </w:r>
      <w:r>
        <w:rPr>
          <w:rFonts w:ascii="微软雅黑" w:cs="微软雅黑" w:eastAsia="微软雅黑" w:hAnsi="微软雅黑"/>
          <w:b/>
          <w:bCs/>
          <w:color w:val="138D5F"/>
          <w:sz w:val="24"/>
          <w:szCs w:val="24"/>
        </w:rPr>
        <w:t xml:space="preserve">-2912.25亿</w:t>
      </w: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　（大幅净流出：主力资金加速出逃，谨慎为宜）</w:t>
      </w:r>
    </w:p>
    <w:p>
      <w:pPr>
        <w:spacing w:after="150" w:before="0"/>
      </w:pPr>
      <w:r>
        <w:rPr>
          <w:rFonts w:ascii="微软雅黑" w:cs="微软雅黑" w:eastAsia="微软雅黑" w:hAnsi="微软雅黑"/>
          <w:color w:val="6B7280"/>
          <w:sz w:val="19"/>
          <w:szCs w:val="19"/>
        </w:rPr>
        <w:t xml:space="preserve">个股资金宽度 37.2%　|　板块净流入宽度 24.6%（248/1009 个板块净流入）</w:t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板块（概念/题材）资金流入 TOP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板块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涨跌幅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主力净流入</w:t>
            </w:r>
          </w:p>
        </w:tc>
        <w:tc>
          <w:tcPr>
            <w:tcW w:type="pct" w:w="13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净占比</w:t>
            </w:r>
          </w:p>
        </w:tc>
        <w:tc>
          <w:tcPr>
            <w:tcW w:type="pct" w:w="1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强弱</w:t>
            </w:r>
          </w:p>
        </w:tc>
        <w:tc>
          <w:tcPr>
            <w:tcW w:type="pct" w:w="17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领涨股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算力概念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-0.44%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46.02亿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+1.50%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紫光股份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医药生物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+1.51%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45.24亿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+2.13%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药明康德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电力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+0.39%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36.10亿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+6.29%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大唐发电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东数西算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+0.29%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35.94亿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+3.65%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紫光股份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WiFi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+0.58%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35.64亿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+6.97%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紫光股份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公用事业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+0.19%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35.39亿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+5.76%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大唐发电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火力发电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+1.56%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31.44亿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+10.55%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大唐发电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英伟达概念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-0.37%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30.39亿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+2.41%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紫光股份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创新药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+1.87%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29.73亿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+2.30%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药明康德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液冷概念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-0.49%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27.36亿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+1.25%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紫光股份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板块（概念/题材）资金流出 TOP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板块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涨跌幅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主力净流出</w:t>
            </w:r>
          </w:p>
        </w:tc>
        <w:tc>
          <w:tcPr>
            <w:tcW w:type="pct" w:w="13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净占比</w:t>
            </w:r>
          </w:p>
        </w:tc>
        <w:tc>
          <w:tcPr>
            <w:tcW w:type="pct" w:w="1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强弱</w:t>
            </w:r>
          </w:p>
        </w:tc>
        <w:tc>
          <w:tcPr>
            <w:tcW w:type="pct" w:w="17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领涨股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融资融券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-1.00%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-421.12亿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-1.83%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大唐发电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富时罗素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-0.94%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-245.87亿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-2.06%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大唐发电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深股通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-1.14%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-236.76亿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-1.87%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紫光股份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MSCI中国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-0.97%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-232.43亿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-2.04%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大唐发电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半导体概念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-1.88%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-182.40亿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-2.90%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华虹宏力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标准普尔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-0.95%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-181.77亿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-2.07%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大唐发电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沪股通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-0.88%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-178.89亿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-1.70%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大唐发电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电子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-1.60%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-170.20亿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-2.40%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利通电子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有色金属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-2.82%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-167.65亿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-10.58%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西部材料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中盘股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-1.08%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-163.89亿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-3.02%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剑桥科技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三、短线情绪与连板晋级率</w:t>
      </w:r>
    </w:p>
    <w:p>
      <w:pPr>
        <w:spacing w:after="60"/>
      </w:pPr>
      <w:r>
        <w:rPr>
          <w:rFonts w:ascii="微软雅黑" w:cs="微软雅黑" w:eastAsia="微软雅黑" w:hAnsi="微软雅黑"/>
          <w:sz w:val="20"/>
          <w:szCs w:val="20"/>
        </w:rPr>
        <w:t xml:space="preserve">情绪周期：</w:t>
      </w:r>
      <w:r>
        <w:rPr>
          <w:rFonts w:ascii="微软雅黑" w:cs="微软雅黑" w:eastAsia="微软雅黑" w:hAnsi="微软雅黑"/>
          <w:b/>
          <w:bCs/>
          <w:color w:val="1A5FB4"/>
          <w:sz w:val="26"/>
          <w:szCs w:val="26"/>
        </w:rPr>
        <w:t xml:space="preserve">退潮期</w:t>
      </w:r>
    </w:p>
    <w:p>
      <w:pPr>
        <w:spacing w:after="6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晋级率下滑、炸板率抬升、昨日涨停股today普遍回落，情绪进入退潮期。</w:t>
      </w:r>
    </w:p>
    <w:p>
      <w:pPr>
        <w:spacing w:after="150" w:before="0"/>
      </w:pPr>
      <w:r>
        <w:rPr>
          <w:rFonts w:ascii="微软雅黑" w:cs="微软雅黑" w:eastAsia="微软雅黑" w:hAnsi="微软雅黑"/>
          <w:color w:val="B7791F"/>
          <w:sz w:val="19"/>
          <w:szCs w:val="19"/>
        </w:rPr>
        <w:t xml:space="preserve">应对：退潮期忌接力，快速降低仓位，等待亏钱效应释放完毕。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核心情绪指标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数值</w:t>
            </w:r>
          </w:p>
        </w:tc>
        <w:tc>
          <w:tcPr>
            <w:tcW w:type="pct" w:w="5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综合晋级率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B7280"/>
                <w:sz w:val="18"/>
                <w:szCs w:val="18"/>
              </w:rPr>
              <w:t xml:space="preserve">22.8%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昨日涨停 92 家，今日仍涨停 21 家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首板晋级率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15.8%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昨日首板 → 今日 2 连板的成功率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连板晋级率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56.3%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 板及以上：9/16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炸板率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37.9%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炸板 36 家 / 涨停 59 家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最高连板高度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 板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上一交易日最高 7 板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封板稳固率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57.6%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全天未炸板 34 家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昨涨停今日均涨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+0.80%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收红比例 42.0%，衡量打板溢价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分层晋级率明细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层级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基数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晋级数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晋级率</w:t>
            </w:r>
          </w:p>
        </w:tc>
        <w:tc>
          <w:tcPr>
            <w:tcW w:type="pct" w:w="2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该层今日平均涨跌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7连板 → 8连板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0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0.0%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+3.35%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4连板 → 5连板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100.0%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+10.04%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3连板 → 4连板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85.7%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+9.42%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2连板 → 3连板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B7280"/>
                <w:sz w:val="18"/>
                <w:szCs w:val="18"/>
              </w:rPr>
              <w:t xml:space="preserve">28.6%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+5.11%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首板 → 2连板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76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12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15.8%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-0.48%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连板梯队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高度</w:t>
            </w:r>
          </w:p>
        </w:tc>
        <w:tc>
          <w:tcPr>
            <w:tcW w:type="pct" w:w="1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家数</w:t>
            </w:r>
          </w:p>
        </w:tc>
        <w:tc>
          <w:tcPr>
            <w:tcW w:type="pct" w:w="7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个股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5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秦安股份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4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北京文化、皇氏集团、蓝盾光电、同力天启、京投发展、一鸣食品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3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城地香江、亚泰集团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2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13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坤泰股份、金 螳 螂、澳洋健康、兆日科技、中鼎股份、华西股份、惠天热电、风语筑、誉衡药业、江河集团、天洋新材、德龙汇能、望变电气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37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理工能科、群兴玩具、移远通信、游族网络、渤海化学、金开新能、共进股份、佳力图、华电能源、威派格、中基健康、出版传媒、会稽山、博济医药、立航科技、新里程 等37家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涨停题材聚集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题材/行业</w:t>
            </w:r>
          </w:p>
        </w:tc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涨停数</w:t>
            </w:r>
          </w:p>
        </w:tc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最高板</w:t>
            </w:r>
          </w:p>
        </w:tc>
        <w:tc>
          <w:tcPr>
            <w:tcW w:type="pct" w:w="5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代表个股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医疗服务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澳洋健康(2)、博济医药(1)、新里程(1)、南模生物(1)、万邦医药(1)、兰卫医学(1)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汽车零部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秦安股份(5)、坤泰股份(2)、中鼎股份(2)、联诚精密(1)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电力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惠天热电(2)、金开新能(1)、华电能源(1)、大唐发电(1)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通信设备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移远通信(1)、共进股份(1)、星网锐捷(1)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中药Ⅱ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佛慈制药(1)、陇神戎发(1)、方盛制药(1)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饮料乳品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皇氏集团(4)、一鸣食品(4)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通用设备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蓝盾光电(4)、佳力图(1)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专用设备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同力天启(4)、威派格(1)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房地产开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京投发展(4)、深振业Ａ(1)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综合Ⅱ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亚泰集团(3)、群兴玩具(1)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四、隔日推演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因子</w:t>
            </w:r>
          </w:p>
        </w:tc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评分</w:t>
            </w:r>
          </w:p>
        </w:tc>
        <w:tc>
          <w:tcPr>
            <w:tcW w:type="pct" w:w="7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解读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筹码结构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 / 4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封板质量偏弱（稳固率 58%、炸板率 38%），隔日容易低开分歧。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资金动向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 / 4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主力大幅净流出 2912.25 亿，资金呈系统性撤离，次日大概率承压。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情绪周期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 / 4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退潮期：综合晋级率 22.8%、首板晋级率 15.8%、最高 5 板（昨 7 板）。晋级率下滑、炸板率抬升、昨日涨停股today普遍回落，情绪进入退潮期。</w:t>
            </w:r>
          </w:p>
        </w:tc>
      </w:tr>
    </w:tbl>
    <w:p>
      <w:pPr>
        <w:spacing w:after="13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70"/>
      </w:pPr>
      <w:r>
        <w:rPr>
          <w:rFonts w:ascii="微软雅黑" w:cs="微软雅黑" w:eastAsia="微软雅黑" w:hAnsi="微软雅黑"/>
          <w:sz w:val="20"/>
          <w:szCs w:val="20"/>
        </w:rPr>
        <w:t xml:space="preserve">次日倾向：</w:t>
      </w:r>
      <w:r>
        <w:rPr>
          <w:rFonts w:ascii="微软雅黑" w:cs="微软雅黑" w:eastAsia="微软雅黑" w:hAnsi="微软雅黑"/>
          <w:b/>
          <w:bCs/>
          <w:color w:val="138D5F"/>
          <w:sz w:val="26"/>
          <w:szCs w:val="26"/>
        </w:rPr>
        <w:t xml:space="preserve">中性偏空</w:t>
      </w: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　（三因子合成 1.65/4）</w:t>
      </w:r>
    </w:p>
    <w:p>
      <w:pPr>
        <w:spacing w:after="6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资金流出叠加情绪走弱，次日承压概率较高。</w:t>
      </w:r>
    </w:p>
    <w:p>
      <w:pPr>
        <w:spacing w:after="150" w:before="0"/>
      </w:pPr>
      <w:r>
        <w:rPr>
          <w:rFonts w:ascii="微软雅黑" w:cs="微软雅黑" w:eastAsia="微软雅黑" w:hAnsi="微软雅黑"/>
          <w:color w:val="6B7280"/>
          <w:sz w:val="19"/>
          <w:szCs w:val="19"/>
        </w:rPr>
        <w:t xml:space="preserve">开盘推演：预期低开或高开回落，反弹更适合减仓而非加仓。</w:t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重点跟踪主线</w:t>
      </w:r>
    </w:p>
    <w:p>
      <w:pPr>
        <w:spacing w:after="90" w:before="0"/>
      </w:pPr>
      <w:r>
        <w:rPr>
          <w:rFonts w:ascii="微软雅黑" w:cs="微软雅黑" w:eastAsia="微软雅黑" w:hAnsi="微软雅黑"/>
          <w:color w:val="C0392B"/>
          <w:sz w:val="19"/>
          <w:szCs w:val="19"/>
        </w:rPr>
        <w:t xml:space="preserve">资金 + 涨停双确认：电力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医疗服务［涨停聚集］ — 6 家涨停，最高 2 板（澳洋健康(2板)、博济医药(1板)、新里程(1板)、南模生物(1板)、万邦医药(1板)、兰卫医学(1板)）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汽车零部［涨停聚集］ — 4 家涨停，最高 5 板（秦安股份(5板)、坤泰股份(2板)、中鼎股份(2板)、联诚精密(1板)）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电力［涨停聚集］ — 4 家涨停，最高 2 板（惠天热电(2板)、金开新能(1板)、华电能源(1板)、大唐发电(1板)）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通信设备［涨停聚集］ — 3 家涨停，最高 1 板（移远通信(1板)、共进股份(1板)、星网锐捷(1板)）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中药Ⅱ［涨停聚集］ — 3 家涨停，最高 1 板（佛慈制药(1板)、陇神戎发(1板)、方盛制药(1板)）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算力概念［资金流入］ — 主力净流入 46.02 亿，板块涨 -0.44%（紫光股份）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医药生物［资金流入］ — 主力净流入 45.24 亿，板块涨 1.51%（药明康德）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电力［资金流入］ — 主力净流入 36.10 亿，板块涨 0.39%（大唐发电）</w:t>
      </w:r>
    </w:p>
    <w:p>
      <w:pPr>
        <w:spacing w:after="13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color w:val="B7791F"/>
          <w:sz w:val="21"/>
          <w:szCs w:val="21"/>
        </w:rPr>
        <w:t xml:space="preserve">风险提示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! 炸板率高达 37.9%，封板意愿不足，追高风险大。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! 最高板由 7 板降至 5 板，空间板受挫，短线天花板下移。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! 两市主力净流出 2912.25 亿，量能与资金背离。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! 涨跌比仅 21.2%，指数与个股背离，赚钱效应集中在少数标的。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! 题材集中度仅 24%，涨停分散无主线，接力难度大。</w:t>
      </w:r>
    </w:p>
    <w:p>
      <w:pPr>
        <w:spacing w:after="13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操作纪律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评级偏弱：降低仓位至三成以内，优先保住本金。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退潮期纪律：不接力、不补仓、不抄底最高板，等待亏钱效应释放完毕。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次日若低开且分时不能收复均价线，减仓优先于死扛。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严格执行个股止损（建议单票 -5% ~ -7%），不因为“评级偏强”放松风控。</w:t>
      </w:r>
    </w:p>
    <w:p>
      <w:pPr>
        <w:pBdr>
          <w:top w:val="single" w:color="B7791F" w:sz="6"/>
        </w:pBdr>
        <w:spacing w:after="100" w:before="400"/>
      </w:pP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color w:val="B7791F"/>
          <w:sz w:val="21"/>
          <w:szCs w:val="21"/>
        </w:rPr>
        <w:t xml:space="preserve">风险提示与免责声明</w:t>
      </w:r>
    </w:p>
    <w:p>
      <w:pPr>
        <w:spacing w:after="100" w:before="0"/>
      </w:pP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本报告由程序自动抓取公开财经数据并按预设量化规则生成，所有评级、推演与策略描述均为数据规律的机械归纳，不构成任何投资建议。AI 分析仅作参考，请务必结合自身研究独立判断，风险自担。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A股量化复盘 2026-08-13</dc:title>
  <dc:creator>A股自动化量化复盘工具</dc:creator>
  <cp:lastModifiedBy>Un-named</cp:lastModifiedBy>
  <cp:revision>1</cp:revision>
  <dcterms:created xsi:type="dcterms:W3CDTF">2026-08-13T07:26:08.830Z</dcterms:created>
  <dcterms:modified xsi:type="dcterms:W3CDTF">2026-08-13T07:26:08.831Z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