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2328"/>
          <w:sz w:val="40"/>
          <w:szCs w:val="40"/>
        </w:rPr>
        <w:t xml:space="preserve">A股量化复盘报告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交易日 2026-08-11　|　上一交易日 2026-08-10　|　生成于 2026/8/11 15:25:42</w:t>
      </w:r>
    </w:p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量化行情评级</w:t>
      </w:r>
    </w:p>
    <w:p>
      <w:pPr>
        <w:spacing w:after="60"/>
      </w:pPr>
      <w:r>
        <w:rPr>
          <w:rFonts w:ascii="微软雅黑" w:cs="微软雅黑" w:eastAsia="微软雅黑" w:hAnsi="微软雅黑"/>
          <w:b/>
          <w:bCs/>
          <w:color w:val="138D5F"/>
          <w:sz w:val="56"/>
          <w:szCs w:val="56"/>
        </w:rPr>
        <w:t xml:space="preserve">3.9</w:t>
      </w:r>
      <w:r>
        <w:rPr>
          <w:rFonts w:ascii="微软雅黑" w:cs="微软雅黑" w:eastAsia="微软雅黑" w:hAnsi="微软雅黑"/>
          <w:color w:val="6B7280"/>
          <w:sz w:val="22"/>
          <w:szCs w:val="22"/>
        </w:rPr>
        <w:t xml:space="preserve"> / 10　</w:t>
      </w: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偏弱</w:t>
      </w:r>
    </w:p>
    <w:p>
      <w:pPr>
        <w:spacing w:after="16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资金流出、情绪退潮，宜降低仓位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权重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得分</w:t>
            </w:r>
          </w:p>
        </w:tc>
        <w:tc>
          <w:tcPr>
            <w:tcW w:type="pct" w:w="6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主要构成指标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大盘结构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4.30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 30.75%(1.8分)；个股中位涨跌 -0.68%(3.3分)；核心指数均涨跌 -0.35%(3.7分)；涨停-跌停净差 57.00家(8.3分)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资金流向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1.65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两市主力净流入 -3286亿(0.0分)；板块净流入宽度 22.10%(1.1分)；个股资金宽度 37.01%(3.9分)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短线情绪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5.64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 16.16%(2.0分)；炸板率(反向) 22.67%(7.9分)；涨停家数 58.00家(6.2分)；封板稳固率 67.24%(3.8分)；连板高度变化 1.00板(8.0分)；昨涨停今日均涨 0.75%(5.9分)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15%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4.65</w:t>
            </w:r>
          </w:p>
        </w:tc>
        <w:tc>
          <w:tcPr>
            <w:tcW w:type="pct" w:w="6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成交量/5日均量 0.94倍(4.2分)；激烈换手股占比 4.96%(4.3分)；全市场平均换手 3.00%(5.5分)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一、大盘结构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指数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收盘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成交额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上证指数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3934.09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-0.82%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1.07万亿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深证成指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14259.44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-0.40%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1.25万亿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创业板指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3549.16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+0.34%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6011.56亿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科创50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1709.50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-1.63%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1104.06亿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沪深300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4663.79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-0.81%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6453.85亿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中证1000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7698.05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-0.46%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5152.82亿</w:t>
            </w:r>
          </w:p>
        </w:tc>
      </w:tr>
      <w:t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国证2000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10004.48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-0.54%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6763.49亿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市场广度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量能活跃</w:t>
            </w:r>
          </w:p>
        </w:tc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上涨 / 下跌 / 平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1576 / 3549 / 158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两市成交额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2.32万亿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涨跌比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30.8%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量能状态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量能持平（0.94倍5日均量）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涨停 / 跌停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58 / 1（净差 +57）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资金活跃度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中性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个股中位涨跌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-0.68%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激烈换手股(≥10%)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262 只 / 5.0%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二、资金流向</w:t>
      </w:r>
    </w:p>
    <w:p>
      <w:pPr>
        <w:spacing w:after="100"/>
      </w:pPr>
      <w:r>
        <w:rPr>
          <w:rFonts w:ascii="微软雅黑" w:cs="微软雅黑" w:eastAsia="微软雅黑" w:hAnsi="微软雅黑"/>
          <w:sz w:val="20"/>
          <w:szCs w:val="20"/>
        </w:rPr>
        <w:t xml:space="preserve">两市主力净流入：</w:t>
      </w:r>
      <w:r>
        <w:rPr>
          <w:rFonts w:ascii="微软雅黑" w:cs="微软雅黑" w:eastAsia="微软雅黑" w:hAnsi="微软雅黑"/>
          <w:b/>
          <w:bCs/>
          <w:color w:val="138D5F"/>
          <w:sz w:val="24"/>
          <w:szCs w:val="24"/>
        </w:rPr>
        <w:t xml:space="preserve">-3286.29亿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（大幅净流出：主力资金加速出逃，谨慎为宜）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个股资金宽度 37.0%　|　板块净流入宽度 22.1%（223/1009 个板块净流入）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板块（概念/题材）资金流入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主力净流入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通信网络设备及器件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+0.15%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34.35亿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+3.32%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四川板块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32.70亿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+3.94%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N超纯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小米概念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+0.03%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27.56亿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+1.49%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东山精密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基金重仓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+0.36%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24.97亿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+0.83%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被动元件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+1.14%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20.84亿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+4.38%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风华高科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MLCC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+2.00%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18.08亿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+2.02%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风华高科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MiniLED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-0.25%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16.95亿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+2.62%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东山精密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数据中心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+0.01%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16.87亿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+0.78%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东山精密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被动元件概念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+1.40%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15.53亿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+2.00%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风华高科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燃料电池概念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-0.45%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14.99亿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+1.92%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强势吸金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三环集团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板块（概念/题材）资金流出 TOP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涨跌幅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主力净流出</w:t>
            </w:r>
          </w:p>
        </w:tc>
        <w:tc>
          <w:tcPr>
            <w:tcW w:type="pct" w:w="13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净占比</w:t>
            </w:r>
          </w:p>
        </w:tc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强弱</w:t>
            </w:r>
          </w:p>
        </w:tc>
        <w:tc>
          <w:tcPr>
            <w:tcW w:type="pct" w:w="17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领涨股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融资融券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-0.53%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-358.08亿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-1.72%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N超纯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MSCI中国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-0.79%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-294.67亿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-2.85%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富时罗素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-0.57%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-277.09亿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-2.54%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沪股通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-0.52%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-253.55亿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-2.60%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太极实业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标准普尔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-0.63%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-252.20亿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-3.14%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东山精密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大盘股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-1.14%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-193.25亿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-2.57%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央国企改革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-0.66%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-193.14亿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-3.09%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太极实业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HS300_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-0.92%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-163.38亿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-2.53%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上证180_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-1.12%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-155.33亿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-4.32%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中国海油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深股通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138D5F"/>
                <w:sz w:val="18"/>
                <w:szCs w:val="18"/>
              </w:rPr>
              <w:t xml:space="preserve">-0.48%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-142.56亿</w:t>
            </w:r>
          </w:p>
        </w:tc>
        <w:tc>
          <w:tcPr>
            <w:tcW w:type="pct" w:w="1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-1.25%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资金出逃</w:t>
            </w:r>
          </w:p>
        </w:tc>
        <w:tc>
          <w:tcPr>
            <w:tcW w:type="pct" w:w="17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新易盛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三、短线情绪与连板晋级率</w:t>
      </w:r>
    </w:p>
    <w:p>
      <w:pPr>
        <w:spacing w:after="60"/>
      </w:pPr>
      <w:r>
        <w:rPr>
          <w:rFonts w:ascii="微软雅黑" w:cs="微软雅黑" w:eastAsia="微软雅黑" w:hAnsi="微软雅黑"/>
          <w:sz w:val="20"/>
          <w:szCs w:val="20"/>
        </w:rPr>
        <w:t xml:space="preserve">情绪周期：</w:t>
      </w:r>
      <w:r>
        <w:rPr>
          <w:rFonts w:ascii="微软雅黑" w:cs="微软雅黑" w:eastAsia="微软雅黑" w:hAnsi="微软雅黑"/>
          <w:b/>
          <w:bCs/>
          <w:color w:val="1A5FB4"/>
          <w:sz w:val="26"/>
          <w:szCs w:val="26"/>
        </w:rPr>
        <w:t xml:space="preserve">退潮期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晋级率下滑、炸板率抬升、昨日涨停股today普遍回落，情绪进入退潮期。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B7791F"/>
          <w:sz w:val="19"/>
          <w:szCs w:val="19"/>
        </w:rPr>
        <w:t xml:space="preserve">应对：退潮期忌接力，快速降低仓位，等待亏钱效应释放完毕。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核心情绪指标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数值</w:t>
            </w:r>
          </w:p>
        </w:tc>
        <w:tc>
          <w:tcPr>
            <w:tcW w:type="pct" w:w="5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综合晋级率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16.2%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昨日涨停 99 家，今日仍涨停 16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13.8%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昨日首板 → 今日 2 连板的成功率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连板晋级率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33.3%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板及以上：4/12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22.7%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炸板 17 家 / 涨停 58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最高连板高度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 板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上一交易日最高 5 板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封板稳固率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67.2%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全天未炸板 39 家</w:t>
            </w:r>
          </w:p>
        </w:tc>
      </w:tr>
      <w:tr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昨涨停今日均涨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+0.75%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收红比例 41.9%，衡量打板溢价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分层晋级率明细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基数</w:t>
            </w:r>
          </w:p>
        </w:tc>
        <w:tc>
          <w:tcPr>
            <w:tcW w:type="pct" w:w="1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晋级数</w:t>
            </w:r>
          </w:p>
        </w:tc>
        <w:tc>
          <w:tcPr>
            <w:tcW w:type="pct" w:w="1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晋级率</w:t>
            </w:r>
          </w:p>
        </w:tc>
        <w:tc>
          <w:tcPr>
            <w:tcW w:type="pct" w:w="2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该层今日平均涨跌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5连板 → 6连板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50.0%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+7.15%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3连板 → 4连板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18"/>
                <w:szCs w:val="18"/>
              </w:rPr>
              <w:t xml:space="preserve">100.0%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+10.02%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2连板 → 3连板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6B7280"/>
                <w:sz w:val="18"/>
                <w:szCs w:val="18"/>
              </w:rPr>
              <w:t xml:space="preserve">22.2%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+1.59%</w:t>
            </w:r>
          </w:p>
        </w:tc>
      </w:tr>
      <w:tr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首板 → 2连板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87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138D5F"/>
                <w:sz w:val="18"/>
                <w:szCs w:val="18"/>
              </w:rPr>
              <w:t xml:space="preserve">13.8%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color w:val="C0392B"/>
                <w:sz w:val="18"/>
                <w:szCs w:val="18"/>
              </w:rPr>
              <w:t xml:space="preserve">+0.38%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连板梯队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高度</w:t>
            </w:r>
          </w:p>
        </w:tc>
        <w:tc>
          <w:tcPr>
            <w:tcW w:type="pct" w:w="10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家数</w:t>
            </w:r>
          </w:p>
        </w:tc>
        <w:tc>
          <w:tcPr>
            <w:tcW w:type="pct" w:w="78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个股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6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百花医药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4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开开实业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3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秦安股份、哈药股份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2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北京文化、蓝盾光电、京投发展、华东数控、皇氏集团、亚邦股份、联泰环保、一鸣食品、国风新材、第一医药、同力天启、立新能源</w:t>
            </w:r>
          </w:p>
        </w:tc>
      </w:tr>
      <w:tr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1 板</w:t>
            </w:r>
          </w:p>
        </w:tc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42</w:t>
            </w:r>
          </w:p>
        </w:tc>
        <w:tc>
          <w:tcPr>
            <w:tcW w:type="pct" w:w="7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金一文化、双星新材、甘李药业、天融信、兆新股份、宝鹰股份、大众交通、老百姓、香江控股、华东重机、乔治白、文投控股、洁美科技、杭钢股份、鸿博股份、恒银科技 等42家</w:t>
            </w:r>
          </w:p>
        </w:tc>
      </w:tr>
    </w:tbl>
    <w:p>
      <w:pPr>
        <w:spacing w:after="12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涨停题材聚集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题材/行业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涨停数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最高板</w:t>
            </w:r>
          </w:p>
        </w:tc>
        <w:tc>
          <w:tcPr>
            <w:tcW w:type="pct" w:w="54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代表个股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汽车零部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秦安股份(3)、登云股份(1)、北特科技(1)、新泉股份(1)、斯菱智驱(1)、福赛科技(1)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专用设备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同力天启(2)、展鹏科技(1)、创力集团(1)、巨轮智能(1)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医药商业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4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开开实业(4)、第一医药(2)、老百姓(1)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化学制品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亚邦股份(2)、北化股份(1)、百合花(1)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电力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立新能源(2)、兆新股份(1)、华能蒙电(1)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装修装饰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宝鹰股份(1)、恒尚节能(1)、豪尔赛(1)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医疗服务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6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百花医药(6)、万邦医药(1)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影视院线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北京文化(2)、华智数媒(1)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通用设备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蓝盾光电(2)、华东数控(2)</w:t>
            </w:r>
          </w:p>
        </w:tc>
      </w:tr>
      <w:tr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房地产开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</w:t>
            </w:r>
          </w:p>
        </w:tc>
        <w:tc>
          <w:tcPr>
            <w:tcW w:type="pct" w:w="5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京投发展(2)、香江控股(1)</w:t>
            </w:r>
          </w:p>
        </w:tc>
      </w:tr>
    </w:tbl>
    <w:p>
      <w:pPr>
        <w:pStyle w:val="Heading2"/>
        <w:spacing w:after="130" w:before="260"/>
      </w:pPr>
      <w:r>
        <w:rPr>
          <w:rFonts w:ascii="微软雅黑" w:cs="微软雅黑" w:eastAsia="微软雅黑" w:hAnsi="微软雅黑"/>
          <w:b/>
          <w:bCs/>
          <w:color w:val="1A5FB4"/>
          <w:sz w:val="24"/>
          <w:szCs w:val="24"/>
        </w:rPr>
        <w:t xml:space="preserve">四、隔日推演</w:t>
      </w:r>
    </w:p>
    <w:tbl>
      <w:tblPr>
        <w:tblW w:type="pct" w:w="100%"/>
        <w:tblBorders>
          <w:top w:val="single" w:color="D0D7DE" w:sz="1"/>
          <w:left w:val="single" w:color="D0D7DE" w:sz="1"/>
          <w:bottom w:val="single" w:color="D0D7DE" w:sz="1"/>
          <w:right w:val="single" w:color="D0D7DE" w:sz="1"/>
          <w:insideH w:val="single" w:color="D0D7DE" w:sz="1"/>
          <w:insideV w:val="single" w:color="D0D7D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因子</w:t>
            </w:r>
          </w:p>
        </w:tc>
        <w:tc>
          <w:tcPr>
            <w:tcW w:type="pct" w:w="1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评分</w:t>
            </w:r>
          </w:p>
        </w:tc>
        <w:tc>
          <w:tcPr>
            <w:tcW w:type="pct" w:w="72%"/>
            <w:shd w:fill="F0F3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解读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筹码结构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封板质量偏弱（稳固率 67%、炸板率 23%），隔日容易低开分歧。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资金动向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1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主力大幅净流出 3286.29 亿，资金呈系统性撤离，次日大概率承压。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18"/>
                <w:szCs w:val="18"/>
              </w:rPr>
              <w:t xml:space="preserve">情绪周期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2 / 4</w:t>
            </w:r>
          </w:p>
        </w:tc>
        <w:tc>
          <w:tcPr>
            <w:tcW w:type="pct" w:w="7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18"/>
                <w:szCs w:val="18"/>
              </w:rPr>
              <w:t xml:space="preserve">退潮期：综合晋级率 16.2%、首板晋级率 13.8%、最高 6 板（昨 5 板）。晋级率下滑、炸板率抬升、昨日涨停股today普遍回落，情绪进入退潮期。</w:t>
            </w:r>
          </w:p>
        </w:tc>
      </w:tr>
    </w:tbl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70"/>
      </w:pPr>
      <w:r>
        <w:rPr>
          <w:rFonts w:ascii="微软雅黑" w:cs="微软雅黑" w:eastAsia="微软雅黑" w:hAnsi="微软雅黑"/>
          <w:sz w:val="20"/>
          <w:szCs w:val="20"/>
        </w:rPr>
        <w:t xml:space="preserve">次日倾向：</w:t>
      </w:r>
      <w:r>
        <w:rPr>
          <w:rFonts w:ascii="微软雅黑" w:cs="微软雅黑" w:eastAsia="微软雅黑" w:hAnsi="微软雅黑"/>
          <w:b/>
          <w:bCs/>
          <w:color w:val="138D5F"/>
          <w:sz w:val="26"/>
          <w:szCs w:val="26"/>
        </w:rPr>
        <w:t xml:space="preserve">中性偏空</w:t>
      </w: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　（三因子合成 1.65/4）</w:t>
      </w:r>
    </w:p>
    <w:p>
      <w:pPr>
        <w:spacing w:after="6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资金流出叠加情绪走弱，次日承压概率较高。</w:t>
      </w:r>
    </w:p>
    <w:p>
      <w:pPr>
        <w:spacing w:after="150" w:before="0"/>
      </w:pPr>
      <w:r>
        <w:rPr>
          <w:rFonts w:ascii="微软雅黑" w:cs="微软雅黑" w:eastAsia="微软雅黑" w:hAnsi="微软雅黑"/>
          <w:color w:val="6B7280"/>
          <w:sz w:val="19"/>
          <w:szCs w:val="19"/>
        </w:rPr>
        <w:t xml:space="preserve">开盘推演：预期低开或高开回落，反弹更适合减仓而非加仓。</w:t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重点跟踪主线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汽车零部［涨停聚集］ — 7 家涨停，最高 3 板（秦安股份(3板)、登云股份(1板)、北特科技(1板)、新泉股份(1板)、斯菱智驱(1板)、福赛科技(1板)）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专用设备［涨停聚集］ — 4 家涨停，最高 2 板（同力天启(2板)、展鹏科技(1板)、创力集团(1板)、巨轮智能(1板)）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医药商业［涨停聚集］ — 3 家涨停，最高 4 板（开开实业(4板)、第一医药(2板)、老百姓(1板)）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化学制品［涨停聚集］ — 3 家涨停，最高 2 板（亚邦股份(2板)、北化股份(1板)、百合花(1板)）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电力［涨停聚集］ — 3 家涨停，最高 2 板（立新能源(2板)、兆新股份(1板)、华能蒙电(1板)）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通信网络设备及器件［资金流入］ — 主力净流入 34.35 亿，板块涨 0.15%（新易盛）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四川板块［资金流入］ — 主力净流入 32.70 亿，板块涨 -0.41%（N超纯）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小米概念［资金流入］ — 主力净流入 27.56 亿，板块涨 0.03%（东山精密）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两市主力净流出 3286.29 亿，量能与资金背离。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涨跌比仅 30.8%，指数与个股背离，赚钱效应集中在少数标的。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! 题材集中度仅 24%，涨停分散无主线，接力难度大。</w:t>
      </w:r>
    </w:p>
    <w:p>
      <w:pPr>
        <w:spacing w:after="130" w:before="0"/>
      </w:pPr>
      <w:r>
        <w:rPr>
          <w:rFonts w:ascii="微软雅黑" w:cs="微软雅黑" w:eastAsia="微软雅黑" w:hAnsi="微软雅黑"/>
          <w:sz w:val="20"/>
          <w:szCs w:val="20"/>
        </w:rPr>
        <w:t xml:space="preserve"/>
      </w:r>
    </w:p>
    <w:p>
      <w:pPr>
        <w:spacing w:after="90" w:before="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操作纪律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评级偏弱：降低仓位至三成以内，优先保住本金。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退潮期纪律：不接力、不补仓、不抄底最高板，等待亏钱效应释放完毕。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次日若低开且分时不能收复均价线，减仓优先于死扛。</w:t>
      </w:r>
    </w:p>
    <w:p>
      <w:pPr>
        <w:spacing w:after="50" w:before="0"/>
      </w:pPr>
      <w:r>
        <w:rPr>
          <w:rFonts w:ascii="微软雅黑" w:cs="微软雅黑" w:eastAsia="微软雅黑" w:hAnsi="微软雅黑"/>
          <w:sz w:val="19"/>
          <w:szCs w:val="19"/>
        </w:rPr>
        <w:t xml:space="preserve">· 严格执行个股止损（建议单票 -5% ~ -7%），不因为“评级偏强”放松风控。</w:t>
      </w:r>
    </w:p>
    <w:p>
      <w:pPr>
        <w:pBdr>
          <w:top w:val="single" w:color="B7791F" w:sz="6"/>
        </w:pBdr>
        <w:spacing w:after="100" w:before="400"/>
      </w:pPr>
    </w:p>
    <w:p>
      <w:pPr>
        <w:spacing w:after="80" w:before="0"/>
      </w:pPr>
      <w:r>
        <w:rPr>
          <w:rFonts w:ascii="微软雅黑" w:cs="微软雅黑" w:eastAsia="微软雅黑" w:hAnsi="微软雅黑"/>
          <w:b/>
          <w:bCs/>
          <w:color w:val="B7791F"/>
          <w:sz w:val="21"/>
          <w:szCs w:val="21"/>
        </w:rPr>
        <w:t xml:space="preserve">风险提示与免责声明</w:t>
      </w:r>
    </w:p>
    <w:p>
      <w:pPr>
        <w:spacing w:after="100" w:before="0"/>
      </w:pPr>
      <w:r>
        <w:rPr>
          <w:rFonts w:ascii="微软雅黑" w:cs="微软雅黑" w:eastAsia="微软雅黑" w:hAnsi="微软雅黑"/>
          <w:color w:val="6B7280"/>
          <w:sz w:val="18"/>
          <w:szCs w:val="18"/>
        </w:rPr>
        <w:t xml:space="preserve">本报告由程序自动抓取公开财经数据并按预设量化规则生成，所有评级、推演与策略描述均为数据规律的机械归纳，不构成任何投资建议。AI 分析仅作参考，请务必结合自身研究独立判断，风险自担。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A股量化复盘 2026-08-11</dc:title>
  <dc:creator>A股自动化量化复盘工具</dc:creator>
  <cp:lastModifiedBy>Un-named</cp:lastModifiedBy>
  <cp:revision>1</cp:revision>
  <dcterms:created xsi:type="dcterms:W3CDTF">2026-08-11T07:25:42.915Z</dcterms:created>
  <dcterms:modified xsi:type="dcterms:W3CDTF">2026-08-11T07:25:42.915Z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