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Adaptive Spectral Truncation for Low-Power Edge Inference of Convolutional Networks</w:t>
      </w:r>
    </w:p>
    <w:p>
      <w:pPr>
        <w:jc w:val="center"/>
      </w:pPr>
      <w:r>
        <w:rPr>
          <w:b w:val="0"/>
          <w:i w:val="0"/>
          <w:sz w:val="24"/>
        </w:rPr>
        <w:t>Wei Zhang, Li Chen, Marcus Hale</w:t>
      </w:r>
    </w:p>
    <w:p>
      <w:pPr>
        <w:jc w:val="center"/>
      </w:pPr>
      <w:r>
        <w:rPr>
          <w:b w:val="0"/>
          <w:i w:val="0"/>
          <w:sz w:val="20"/>
        </w:rPr>
        <w:t>School of Automation, Harbin Institute of Technology, Harbin 150001, China</w:t>
      </w:r>
    </w:p>
    <w:p>
      <w:pPr>
        <w:pStyle w:val="Heading1"/>
      </w:pPr>
      <w:r>
        <w:t>Abstract</w:t>
      </w:r>
    </w:p>
    <w:p>
      <w:r>
        <w:rPr>
          <w:b w:val="0"/>
          <w:i w:val="0"/>
        </w:rPr>
        <w:t>Deploying convolutional neural networks on battery-powered edge devices is limited by the energy cost of dense matrix multiplication. This paper introduces Adaptive Spectral Truncation (AST), which estimates the spectral decay of each layer's weight matrix at calibration time and truncates the trailing singular subspace. On CIFAR-10 and a 100-class ImageNet subset, AST reduces multiply-accumulate operations by 41.7% while losing 0.6 percentage points of top-1 accuracy. AST is complementary to quantization and can be stacked with 8-bit post-training quantization for an additional 1.9x energy reduction.</w:t>
      </w:r>
    </w:p>
    <w:p>
      <w:r>
        <w:rPr>
          <w:b w:val="0"/>
          <w:i w:val="0"/>
        </w:rPr>
        <w:t>Keywords: edge inference, model compression, spectral methods, energy efficiency</w:t>
      </w:r>
    </w:p>
    <w:p>
      <w:pPr>
        <w:pStyle w:val="Heading1"/>
      </w:pPr>
      <w:r>
        <w:t>1 Introduction</w:t>
      </w:r>
    </w:p>
    <w:p>
      <w:r>
        <w:rPr>
          <w:b w:val="0"/>
          <w:i w:val="0"/>
        </w:rPr>
        <w:t>Convolutional neural networks have become the default architecture for perception on embedded platforms [1, 2]. The energy budget of a battery-powered node is dominated by the multiply-accumulate operations of dense convolutions [3]. Prior work reduces this cost through pruning, quantization [4], and knowledge distillation.</w:t>
      </w:r>
    </w:p>
    <w:p>
      <w:pPr>
        <w:pStyle w:val="Heading2"/>
      </w:pPr>
      <w:r>
        <w:t>1.1 Contributions</w:t>
      </w:r>
    </w:p>
    <w:p>
      <w:r>
        <w:rPr>
          <w:b w:val="0"/>
          <w:i w:val="0"/>
        </w:rPr>
        <w:t>This paper makes three contributions. First, we propose AST, a calibration-time spectral truncation scheme that requires no retraining. Second, we derive a closed-form expression for the optimal truncation rank from the noise floor of the calibration set. Third, we demonstrate a 41.7% reduction in multiply-accumulate operations.</w:t>
      </w:r>
    </w:p>
    <w:p>
      <w:pPr>
        <w:pStyle w:val="Heading1"/>
      </w:pPr>
      <w:r>
        <w:t>2 Method</w:t>
      </w:r>
    </w:p>
    <w:p>
      <w:pPr>
        <w:pStyle w:val="Heading2"/>
      </w:pPr>
      <w:r>
        <w:t>2.1 Spectral decay model</w:t>
      </w:r>
    </w:p>
    <w:p>
      <w:r>
        <w:rPr>
          <w:b w:val="0"/>
          <w:i w:val="0"/>
        </w:rPr>
        <w:t>Let W be the flattened kernel of a convolutional layer and let the singular values be ordered in decreasing magnitude. We model the decay as a power law with an additive noise floor, given by</w:t>
      </w:r>
    </w:p>
    <w:p>
      <w:pPr>
        <w:jc w:val="center"/>
      </w:pPr>
      <m:oMathPara>
        <m:oMath>
          <m:r>
            <m:t>E(k)=</m:t>
          </m:r>
          <m:f>
            <m:num>
              <m:r>
                <m:t>Σσ</m:t>
              </m:r>
              <m:sSub>
                <m:e>
                  <m:r>
                    <m:t/>
                  </m:r>
                </m:e>
                <m:sub>
                  <m:r>
                    <m:t>i</m:t>
                  </m:r>
                </m:sub>
              </m:sSub>
            </m:num>
            <m:den>
              <m:r>
                <m:t>Σσ</m:t>
              </m:r>
            </m:den>
          </m:f>
        </m:oMath>
      </m:oMathPara>
    </w:p>
    <w:p>
      <w:pPr>
        <w:jc w:val="center"/>
      </w:pPr>
      <w:r>
        <w:rPr>
          <w:i/>
          <w:sz w:val="18"/>
        </w:rPr>
        <w:t>Equation (1)</w:t>
      </w:r>
    </w:p>
    <w:p>
      <w:r>
        <w:rPr>
          <w:b w:val="0"/>
          <w:i w:val="0"/>
        </w:rPr>
        <w:t>where eta is the standard deviation of the calibration residual. Fitting this model by least squares yields the three parameters.</w:t>
      </w:r>
    </w:p>
    <w:p>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2520000"/>
                    </a:xfrm>
                    <a:prstGeom prst="rect"/>
                  </pic:spPr>
                </pic:pic>
              </a:graphicData>
            </a:graphic>
          </wp:inline>
        </w:drawing>
      </w:r>
    </w:p>
    <w:p>
      <w:pPr>
        <w:jc w:val="center"/>
      </w:pPr>
      <w:r>
        <w:rPr>
          <w:i/>
          <w:sz w:val="18"/>
        </w:rPr>
        <w:t>Figure 1. Overview of AST. Calibration data is passed through the frozen network and per-layer spectra are fitted.</w:t>
      </w:r>
    </w:p>
    <w:p>
      <w:pPr>
        <w:pStyle w:val="Heading2"/>
      </w:pPr>
      <w:r>
        <w:t>2.2 Truncation rank</w:t>
      </w:r>
    </w:p>
    <w:p>
      <w:r>
        <w:rPr>
          <w:b w:val="0"/>
          <w:i w:val="0"/>
        </w:rPr>
        <w:t>The energy retained by keeping the first k components defines the truncation rank, as shown in Figure 1 and Figure 2. The multiplier lambda trades accuracy against computation.</w:t>
      </w:r>
    </w:p>
    <w:p>
      <w:r>
        <w:drawing>
          <wp:inline xmlns:a="http://schemas.openxmlformats.org/drawingml/2006/main" xmlns:pic="http://schemas.openxmlformats.org/drawingml/2006/picture">
            <wp:extent cx="4320000" cy="297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2970000"/>
                    </a:xfrm>
                    <a:prstGeom prst="rect"/>
                  </pic:spPr>
                </pic:pic>
              </a:graphicData>
            </a:graphic>
          </wp:inline>
        </w:drawing>
      </w:r>
    </w:p>
    <w:p>
      <w:pPr>
        <w:jc w:val="center"/>
      </w:pPr>
      <w:r>
        <w:rPr>
          <w:i/>
          <w:sz w:val="18"/>
        </w:rPr>
        <w:t>Figure 2. Sensitivity of top-1 accuracy to the multiplier lambda.</w:t>
      </w:r>
    </w:p>
    <w:p>
      <w:pPr>
        <w:pStyle w:val="Heading2"/>
      </w:pPr>
      <w:r>
        <w:t>2.3 Complexity</w:t>
      </w:r>
    </w:p>
    <w:p>
      <w:r>
        <w:rPr>
          <w:b w:val="0"/>
          <w:i w:val="0"/>
        </w:rPr>
        <w:t>The additional calibration cost per layer is summarized in Table 1.</w:t>
      </w:r>
    </w:p>
    <w:p>
      <w:pPr>
        <w:jc w:val="center"/>
      </w:pPr>
      <w:r>
        <w:rPr>
          <w:i/>
          <w:sz w:val="18"/>
        </w:rPr>
        <w:t>Table 1. Per-layer calibration cost for the ResNet-18 backbone.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Stage</w:t>
            </w:r>
          </w:p>
        </w:tc>
        <w:tc>
          <w:tcPr>
            <w:tcW w:type="dxa" w:w="2268"/>
          </w:tcPr>
          <w:p>
            <w:r>
              <w:rPr>
                <w:b/>
              </w:rPr>
              <w:t>Params (M)</w:t>
            </w:r>
          </w:p>
        </w:tc>
        <w:tc>
          <w:tcPr>
            <w:tcW w:type="dxa" w:w="2268"/>
          </w:tcPr>
          <w:p>
            <w:r>
              <w:rPr>
                <w:b/>
              </w:rPr>
              <w:t>SVD (ms)</w:t>
            </w:r>
          </w:p>
        </w:tc>
        <w:tc>
          <w:tcPr>
            <w:tcW w:type="dxa" w:w="2268"/>
          </w:tcPr>
          <w:p>
            <w:r>
              <w:rPr>
                <w:b/>
              </w:rPr>
              <w:t>Peak RAM (MB)</w:t>
            </w:r>
          </w:p>
        </w:tc>
      </w:tr>
      <w:tr>
        <w:tc>
          <w:tcPr>
            <w:tcW w:type="dxa" w:w="2268"/>
          </w:tcPr>
          <w:p>
            <w:r>
              <w:t>Stem</w:t>
            </w:r>
          </w:p>
        </w:tc>
        <w:tc>
          <w:tcPr>
            <w:tcW w:type="dxa" w:w="2268"/>
          </w:tcPr>
          <w:p>
            <w:r>
              <w:t>0.009</w:t>
            </w:r>
          </w:p>
        </w:tc>
        <w:tc>
          <w:tcPr>
            <w:tcW w:type="dxa" w:w="2268"/>
          </w:tcPr>
          <w:p>
            <w:r>
              <w:t>4.1</w:t>
            </w:r>
          </w:p>
        </w:tc>
        <w:tc>
          <w:tcPr>
            <w:tcW w:type="dxa" w:w="2268"/>
          </w:tcPr>
          <w:p>
            <w:r>
              <w:t>3.2</w:t>
            </w:r>
          </w:p>
        </w:tc>
      </w:tr>
      <w:tr>
        <w:tc>
          <w:tcPr>
            <w:tcW w:type="dxa" w:w="2268"/>
          </w:tcPr>
          <w:p>
            <w:r>
              <w:t>Stage 1</w:t>
            </w:r>
          </w:p>
        </w:tc>
        <w:tc>
          <w:tcPr>
            <w:tcW w:type="dxa" w:w="2268"/>
          </w:tcPr>
          <w:p>
            <w:r>
              <w:t>0.147</w:t>
            </w:r>
          </w:p>
        </w:tc>
        <w:tc>
          <w:tcPr>
            <w:tcW w:type="dxa" w:w="2268"/>
          </w:tcPr>
          <w:p>
            <w:r>
              <w:t>22.8</w:t>
            </w:r>
          </w:p>
        </w:tc>
        <w:tc>
          <w:tcPr>
            <w:tcW w:type="dxa" w:w="2268"/>
          </w:tcPr>
          <w:p>
            <w:r>
              <w:t>11.5</w:t>
            </w:r>
          </w:p>
        </w:tc>
      </w:tr>
      <w:tr>
        <w:tc>
          <w:tcPr>
            <w:tcW w:type="dxa" w:w="2268"/>
          </w:tcPr>
          <w:p>
            <w:r>
              <w:t>Stage 2</w:t>
            </w:r>
          </w:p>
        </w:tc>
        <w:tc>
          <w:tcPr>
            <w:tcW w:type="dxa" w:w="2268"/>
          </w:tcPr>
          <w:p>
            <w:r>
              <w:t>0.525</w:t>
            </w:r>
          </w:p>
        </w:tc>
        <w:tc>
          <w:tcPr>
            <w:tcW w:type="dxa" w:w="2268"/>
          </w:tcPr>
          <w:p>
            <w:r>
              <w:t>88.3</w:t>
            </w:r>
          </w:p>
        </w:tc>
        <w:tc>
          <w:tcPr>
            <w:tcW w:type="dxa" w:w="2268"/>
          </w:tcPr>
          <w:p>
            <w:r>
              <w:t>40.1</w:t>
            </w:r>
          </w:p>
        </w:tc>
      </w:tr>
      <w:tr>
        <w:tc>
          <w:tcPr>
            <w:tcW w:type="dxa" w:w="2268"/>
          </w:tcPr>
          <w:p>
            <w:r>
              <w:t>Stage 3</w:t>
            </w:r>
          </w:p>
        </w:tc>
        <w:tc>
          <w:tcPr>
            <w:tcW w:type="dxa" w:w="2268"/>
          </w:tcPr>
          <w:p>
            <w:r>
              <w:t>2.100</w:t>
            </w:r>
          </w:p>
        </w:tc>
        <w:tc>
          <w:tcPr>
            <w:tcW w:type="dxa" w:w="2268"/>
          </w:tcPr>
          <w:p>
            <w:r>
              <w:t>301.7</w:t>
            </w:r>
          </w:p>
        </w:tc>
        <w:tc>
          <w:tcPr>
            <w:tcW w:type="dxa" w:w="2268"/>
          </w:tcPr>
          <w:p>
            <w:r>
              <w:t>158.4</w:t>
            </w:r>
          </w:p>
        </w:tc>
      </w:tr>
      <w:tr>
        <w:tc>
          <w:tcPr>
            <w:tcW w:type="dxa" w:w="2268"/>
          </w:tcPr>
          <w:p>
            <w:r>
              <w:t>Stage 4</w:t>
            </w:r>
          </w:p>
        </w:tc>
        <w:tc>
          <w:tcPr>
            <w:tcW w:type="dxa" w:w="2268"/>
          </w:tcPr>
          <w:p>
            <w:r>
              <w:t>8.400</w:t>
            </w:r>
          </w:p>
        </w:tc>
        <w:tc>
          <w:tcPr>
            <w:tcW w:type="dxa" w:w="2268"/>
          </w:tcPr>
          <w:p>
            <w:r>
              <w:t>1187.2</w:t>
            </w:r>
          </w:p>
        </w:tc>
        <w:tc>
          <w:tcPr>
            <w:tcW w:type="dxa" w:w="2268"/>
          </w:tcPr>
          <w:p>
            <w:r>
              <w:t>612.9</w:t>
            </w:r>
          </w:p>
        </w:tc>
      </w:tr>
    </w:tbl>
    <w:p>
      <w:pPr>
        <w:pStyle w:val="Heading1"/>
      </w:pPr>
      <w:r>
        <w:t>3 Results</w:t>
      </w:r>
    </w:p>
    <w:p>
      <w:r>
        <w:rPr>
          <w:b w:val="0"/>
          <w:i w:val="0"/>
        </w:rPr>
        <w:t>Table 2 reports accuracy and operation counts. AST reduces multiply-accumulate operations by 41.7% on ResNet-18 while losing 0.6 percentage points of top-1 accuracy. Stacking with 8-bit post-training quantization yields a further reduction, as shown in Figure 3.</w:t>
      </w:r>
    </w:p>
    <w:p>
      <w:pPr>
        <w:jc w:val="center"/>
      </w:pPr>
      <w:r>
        <w:rPr>
          <w:i/>
          <w:sz w:val="18"/>
        </w:rPr>
        <w:t>Table 2. Top-1 accuracy and multiply-accumulate operations on CIFAR-10.</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Method</w:t>
            </w:r>
          </w:p>
        </w:tc>
        <w:tc>
          <w:tcPr>
            <w:tcW w:type="dxa" w:w="2268"/>
          </w:tcPr>
          <w:p>
            <w:r>
              <w:rPr>
                <w:b/>
              </w:rPr>
              <w:t>Backbone</w:t>
            </w:r>
          </w:p>
        </w:tc>
        <w:tc>
          <w:tcPr>
            <w:tcW w:type="dxa" w:w="2268"/>
          </w:tcPr>
          <w:p>
            <w:r>
              <w:rPr>
                <w:b/>
              </w:rPr>
              <w:t>Top-1 (%)</w:t>
            </w:r>
          </w:p>
        </w:tc>
        <w:tc>
          <w:tcPr>
            <w:tcW w:type="dxa" w:w="2268"/>
          </w:tcPr>
          <w:p>
            <w:r>
              <w:rPr>
                <w:b/>
              </w:rPr>
              <w:t>MAC (G)</w:t>
            </w:r>
          </w:p>
        </w:tc>
      </w:tr>
      <w:tr>
        <w:tc>
          <w:tcPr>
            <w:tcW w:type="dxa" w:w="2268"/>
          </w:tcPr>
          <w:p>
            <w:r>
              <w:t>Dense baseline</w:t>
            </w:r>
          </w:p>
        </w:tc>
        <w:tc>
          <w:tcPr>
            <w:tcW w:type="dxa" w:w="2268"/>
          </w:tcPr>
          <w:p>
            <w:r>
              <w:t>ResNet-18</w:t>
            </w:r>
          </w:p>
        </w:tc>
        <w:tc>
          <w:tcPr>
            <w:tcW w:type="dxa" w:w="2268"/>
          </w:tcPr>
          <w:p>
            <w:r>
              <w:t>94.8</w:t>
            </w:r>
          </w:p>
        </w:tc>
        <w:tc>
          <w:tcPr>
            <w:tcW w:type="dxa" w:w="2268"/>
          </w:tcPr>
          <w:p>
            <w:r>
              <w:t>0.557</w:t>
            </w:r>
          </w:p>
        </w:tc>
      </w:tr>
      <w:tr>
        <w:tc>
          <w:tcPr>
            <w:tcW w:type="dxa" w:w="2268"/>
          </w:tcPr>
          <w:p>
            <w:r>
              <w:t>Magnitude pruning</w:t>
            </w:r>
          </w:p>
        </w:tc>
        <w:tc>
          <w:tcPr>
            <w:tcW w:type="dxa" w:w="2268"/>
          </w:tcPr>
          <w:p>
            <w:r>
              <w:t>ResNet-18</w:t>
            </w:r>
          </w:p>
        </w:tc>
        <w:tc>
          <w:tcPr>
            <w:tcW w:type="dxa" w:w="2268"/>
          </w:tcPr>
          <w:p>
            <w:r>
              <w:t>94.1</w:t>
            </w:r>
          </w:p>
        </w:tc>
        <w:tc>
          <w:tcPr>
            <w:tcW w:type="dxa" w:w="2268"/>
          </w:tcPr>
          <w:p>
            <w:r>
              <w:t>0.371</w:t>
            </w:r>
          </w:p>
        </w:tc>
      </w:tr>
      <w:tr>
        <w:tc>
          <w:tcPr>
            <w:tcW w:type="dxa" w:w="2268"/>
          </w:tcPr>
          <w:p>
            <w:r>
              <w:t>AST (ours)</w:t>
            </w:r>
          </w:p>
        </w:tc>
        <w:tc>
          <w:tcPr>
            <w:tcW w:type="dxa" w:w="2268"/>
          </w:tcPr>
          <w:p>
            <w:r>
              <w:t>ResNet-18</w:t>
            </w:r>
          </w:p>
        </w:tc>
        <w:tc>
          <w:tcPr>
            <w:tcW w:type="dxa" w:w="2268"/>
          </w:tcPr>
          <w:p>
            <w:r>
              <w:t>94.2</w:t>
            </w:r>
          </w:p>
        </w:tc>
        <w:tc>
          <w:tcPr>
            <w:tcW w:type="dxa" w:w="2268"/>
          </w:tcPr>
          <w:p>
            <w:r>
              <w:t>0.325</w:t>
            </w:r>
          </w:p>
        </w:tc>
      </w:tr>
      <w:tr>
        <w:tc>
          <w:tcPr>
            <w:tcW w:type="dxa" w:w="2268"/>
          </w:tcPr>
          <w:p>
            <w:r>
              <w:t>AST + 8-bit PTQ</w:t>
            </w:r>
          </w:p>
        </w:tc>
        <w:tc>
          <w:tcPr>
            <w:tcW w:type="dxa" w:w="2268"/>
          </w:tcPr>
          <w:p>
            <w:r>
              <w:t>ResNet-18</w:t>
            </w:r>
          </w:p>
        </w:tc>
        <w:tc>
          <w:tcPr>
            <w:tcW w:type="dxa" w:w="2268"/>
          </w:tcPr>
          <w:p>
            <w:r>
              <w:t>93.8</w:t>
            </w:r>
          </w:p>
        </w:tc>
        <w:tc>
          <w:tcPr>
            <w:tcW w:type="dxa" w:w="2268"/>
          </w:tcPr>
          <w:p>
            <w:r>
              <w:t>0.325</w:t>
            </w:r>
          </w:p>
        </w:tc>
      </w:tr>
    </w:tbl>
    <w:p>
      <w:r>
        <w:drawing>
          <wp:inline xmlns:a="http://schemas.openxmlformats.org/drawingml/2006/main" xmlns:pic="http://schemas.openxmlformats.org/drawingml/2006/picture">
            <wp:extent cx="3240000" cy="19938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993846"/>
                    </a:xfrm>
                    <a:prstGeom prst="rect"/>
                  </pic:spPr>
                </pic:pic>
              </a:graphicData>
            </a:graphic>
          </wp:inline>
        </w:drawing>
      </w:r>
    </w:p>
    <w:p>
      <w:pPr>
        <w:jc w:val="center"/>
      </w:pPr>
      <w:r>
        <w:rPr>
          <w:i/>
          <w:sz w:val="18"/>
        </w:rPr>
        <w:t>Figure 3. Energy per inference as a function of the accuracy budget.</w:t>
      </w:r>
    </w:p>
    <w:p>
      <w:r>
        <w:drawing>
          <wp:inline xmlns:a="http://schemas.openxmlformats.org/drawingml/2006/main" xmlns:pic="http://schemas.openxmlformats.org/drawingml/2006/picture">
            <wp:extent cx="4320000" cy="277714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20000" cy="2777143"/>
                    </a:xfrm>
                    <a:prstGeom prst="rect"/>
                  </pic:spPr>
                </pic:pic>
              </a:graphicData>
            </a:graphic>
          </wp:inline>
        </w:drawing>
      </w:r>
    </w:p>
    <w:p>
      <w:pPr>
        <w:jc w:val="center"/>
      </w:pPr>
      <w:r>
        <w:rPr>
          <w:i/>
          <w:sz w:val="18"/>
        </w:rPr>
        <w:t>Figure 4. Ablation over the truncation schedule.</w:t>
      </w:r>
    </w:p>
    <w:p>
      <w:pPr>
        <w:pStyle w:val="Heading1"/>
      </w:pPr>
      <w:r>
        <w:t>4 Conclusion</w:t>
      </w:r>
    </w:p>
    <w:p>
      <w:r>
        <w:rPr>
          <w:b w:val="0"/>
          <w:i w:val="0"/>
        </w:rPr>
        <w:t>We presented AST, a calibration-time spectral truncation scheme for low-power edge inference. It reduces multiply-accumulate operations by 41.7% on ResNet-18 with a 0.6 percentage point accuracy loss, requires no retraining, and composes with post-training quantization.</w:t>
      </w:r>
    </w:p>
    <w:p>
      <w:pPr>
        <w:pStyle w:val="Heading1"/>
      </w:pPr>
      <w:r>
        <w:t>Funding</w:t>
      </w:r>
    </w:p>
    <w:p>
      <w:r>
        <w:rPr>
          <w:b w:val="0"/>
          <w:i w:val="0"/>
        </w:rPr>
        <w:t>This work was supported by the National Key R&amp;D Program of China under Grant 2023YFB4702800.</w:t>
      </w:r>
    </w:p>
    <w:p>
      <w:pPr>
        <w:pStyle w:val="Heading1"/>
      </w:pPr>
      <w:r>
        <w:t>Declaration of Competing Interest</w:t>
      </w:r>
    </w:p>
    <w:p>
      <w:r>
        <w:rPr>
          <w:b w:val="0"/>
          <w:i w:val="0"/>
        </w:rPr>
        <w:t>The authors declare that they have no known competing financial interests or personal relationships that could have appeared to influence the work reported in this paper.</w:t>
      </w:r>
    </w:p>
    <w:p>
      <w:pPr>
        <w:pStyle w:val="Heading1"/>
      </w:pPr>
      <w:r>
        <w:t>References</w:t>
      </w:r>
    </w:p>
    <w:p>
      <w:r>
        <w:rPr>
          <w:b w:val="0"/>
          <w:i w:val="0"/>
        </w:rPr>
        <w:t>[1] LeCun Y, Bengio Y, Hinton G. Deep learning. Nature. 2015;521(7553):436-444.</w:t>
      </w:r>
    </w:p>
    <w:p>
      <w:r>
        <w:rPr>
          <w:b w:val="0"/>
          <w:i w:val="0"/>
        </w:rPr>
        <w:t>[2] He K, Zhang X, Ren S, Sun J. Deep residual learning for image recognition. In: Proceedings of the IEEE Conference on Computer Vision and Pattern Recognition. 2016. p. 770-778.</w:t>
      </w:r>
    </w:p>
    <w:p>
      <w:r>
        <w:rPr>
          <w:b w:val="0"/>
          <w:i w:val="0"/>
        </w:rPr>
        <w:t>[4] Jacob B, Kligys S, Chen B, et al. Quantization and training of neural networks for efficient integer-arithmetic-only inference. In: CVPR. 2018. p. 2704-2713.</w:t>
      </w:r>
    </w:p>
    <w:p>
      <w:r>
        <w:rPr>
          <w:b w:val="0"/>
          <w:i w:val="0"/>
        </w:rPr>
        <w:t>[5] Han S, Pool J, Tran J, Dally W. Learning both weights and connections for efficient neural networks. In: Advances in Neural Information Processing Systems. 2015. p. 1135-1143.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