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COMPANY   =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STRIPE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SECTOR    =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FINTECH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REGION    =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USA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TIMEFRAME =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JANUARY 1 2024 → PRESENT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n1pyq6280n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 | Role &amp; Context</w:t>
      </w:r>
    </w:p>
    <w:p w:rsidR="00000000" w:rsidDel="00000000" w:rsidP="00000000" w:rsidRDefault="00000000" w:rsidRPr="00000000" w14:paraId="0000000A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the lead strategy consultant briefing the CEO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{{COMPANY}}</w:t>
      </w:r>
      <w:r w:rsidDel="00000000" w:rsidR="00000000" w:rsidRPr="00000000">
        <w:rPr>
          <w:sz w:val="24"/>
          <w:szCs w:val="24"/>
          <w:rtl w:val="0"/>
        </w:rPr>
        <w:t xml:space="preserve"> in 24 hours. Your mandate: expose shifting competitive terrain, uncover first‑mover plays, and deliver insights the usual advisors miss.</w:t>
      </w:r>
    </w:p>
    <w:p w:rsidR="00000000" w:rsidDel="00000000" w:rsidP="00000000" w:rsidRDefault="00000000" w:rsidRPr="00000000" w14:paraId="0000000B">
      <w:pPr>
        <w:pStyle w:val="Heading2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vyc0kir0b5m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 | Objectives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 three rival tiers</w:t>
      </w:r>
      <w:r w:rsidDel="00000000" w:rsidR="00000000" w:rsidRPr="00000000">
        <w:rPr>
          <w:sz w:val="24"/>
          <w:szCs w:val="24"/>
          <w:rtl w:val="0"/>
        </w:rPr>
        <w:t xml:space="preserve"> in {{SECTOR}} / {{REGION}} during {{TIMEFRAME}}: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Direct competitors</w:t>
      </w:r>
      <w:r w:rsidDel="00000000" w:rsidR="00000000" w:rsidRPr="00000000">
        <w:rPr>
          <w:sz w:val="24"/>
          <w:szCs w:val="24"/>
          <w:rtl w:val="0"/>
        </w:rPr>
        <w:t xml:space="preserve"> — 5–7 firms chasing the same core customer/job.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Indirect competitors</w:t>
      </w:r>
      <w:r w:rsidDel="00000000" w:rsidR="00000000" w:rsidRPr="00000000">
        <w:rPr>
          <w:sz w:val="24"/>
          <w:szCs w:val="24"/>
          <w:rtl w:val="0"/>
        </w:rPr>
        <w:t xml:space="preserve"> — 3–5 firms solving the need via alternative models.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Analogues</w:t>
      </w:r>
      <w:r w:rsidDel="00000000" w:rsidR="00000000" w:rsidRPr="00000000">
        <w:rPr>
          <w:sz w:val="24"/>
          <w:szCs w:val="24"/>
          <w:rtl w:val="0"/>
        </w:rPr>
        <w:t xml:space="preserve"> — 3 adjacent‑sector players whose moves foreshadow threats or ideas to steal.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rival, deliver:</w:t>
        <w:br w:type="textWrapping"/>
        <w:t xml:space="preserve"> • Strategic position • Strengths • Weaknesses • Emerging / next moves</w:t>
        <w:br w:type="textWrapping"/>
        <w:t xml:space="preserve"> 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Catalyst</w:t>
      </w:r>
      <w:r w:rsidDel="00000000" w:rsidR="00000000" w:rsidRPr="00000000">
        <w:rPr>
          <w:sz w:val="24"/>
          <w:szCs w:val="24"/>
          <w:rtl w:val="0"/>
        </w:rPr>
        <w:t xml:space="preserve"> — the inflection (tech, regulation, funding, etc.) that opened space for the rival.</w:t>
        <w:br w:type="textWrapping"/>
        <w:t xml:space="preserve"> 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De‑Prioritisation Note</w:t>
      </w:r>
      <w:r w:rsidDel="00000000" w:rsidR="00000000" w:rsidRPr="00000000">
        <w:rPr>
          <w:sz w:val="24"/>
          <w:szCs w:val="24"/>
          <w:rtl w:val="0"/>
        </w:rPr>
        <w:t xml:space="preserve"> — if evidence shows they deserve less attention, explain why.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Threat‑vs‑Noise Matrix</w:t>
      </w:r>
      <w:r w:rsidDel="00000000" w:rsidR="00000000" w:rsidRPr="00000000">
        <w:rPr>
          <w:sz w:val="24"/>
          <w:szCs w:val="24"/>
          <w:rtl w:val="0"/>
        </w:rPr>
        <w:t xml:space="preserve"> — rate all rivals on disruption potential vs execution velocity.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with a whitespace &amp; opportunity map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{{COMPANY}}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qj2hxsrg4fb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 | Evidence Rules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window</w:t>
      </w:r>
      <w:r w:rsidDel="00000000" w:rsidR="00000000" w:rsidRPr="00000000">
        <w:rPr>
          <w:sz w:val="24"/>
          <w:szCs w:val="24"/>
          <w:rtl w:val="0"/>
        </w:rPr>
        <w:t xml:space="preserve">: only material dated within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{{TIMEFRAME}}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 depth</w:t>
      </w:r>
      <w:r w:rsidDel="00000000" w:rsidR="00000000" w:rsidRPr="00000000">
        <w:rPr>
          <w:sz w:val="24"/>
          <w:szCs w:val="24"/>
          <w:rtl w:val="0"/>
        </w:rPr>
        <w:t xml:space="preserve">: every substantive claim must cite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2–3 independent, reputable sources</w:t>
      </w:r>
      <w:r w:rsidDel="00000000" w:rsidR="00000000" w:rsidRPr="00000000">
        <w:rPr>
          <w:sz w:val="24"/>
          <w:szCs w:val="24"/>
          <w:rtl w:val="0"/>
        </w:rPr>
        <w:t xml:space="preserve"> (analyst notes, filings, trade journals, funding DBs, social sentiment, etc.).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Citation style</w:t>
      </w:r>
      <w:r w:rsidDel="00000000" w:rsidR="00000000" w:rsidRPr="00000000">
        <w:rPr>
          <w:sz w:val="24"/>
          <w:szCs w:val="24"/>
          <w:rtl w:val="0"/>
        </w:rPr>
        <w:t xml:space="preserve">: inline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(Source, Year)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; compile full list newest → oldest.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 caps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rival profile ≤ 250 w; synthesis ≤ 350 w.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mandate</w:t>
      </w:r>
      <w:r w:rsidDel="00000000" w:rsidR="00000000" w:rsidRPr="00000000">
        <w:rPr>
          <w:sz w:val="24"/>
          <w:szCs w:val="24"/>
          <w:rtl w:val="0"/>
        </w:rPr>
        <w:t xml:space="preserve">: convert facts into actionable strategy—no boilerplate.</w:t>
      </w:r>
    </w:p>
    <w:p w:rsidR="00000000" w:rsidDel="00000000" w:rsidP="00000000" w:rsidRDefault="00000000" w:rsidRPr="00000000" w14:paraId="00000019">
      <w:pPr>
        <w:pStyle w:val="Heading2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iw6w5sdy75q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 | Output Blueprint </w:t>
      </w:r>
    </w:p>
    <w:p w:rsidR="00000000" w:rsidDel="00000000" w:rsidP="00000000" w:rsidRDefault="00000000" w:rsidRPr="00000000" w14:paraId="0000001A">
      <w:pPr>
        <w:pStyle w:val="Heading3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o4kw8pli40d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4.1 Executive Snapshot (≤ 120 words)</w:t>
      </w:r>
    </w:p>
    <w:p w:rsidR="00000000" w:rsidDel="00000000" w:rsidP="00000000" w:rsidRDefault="00000000" w:rsidRPr="00000000" w14:paraId="0000001B">
      <w:pPr>
        <w:pStyle w:val="Heading3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6pam5xt5o7kn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 Competitive Landscape Table</w:t>
      </w:r>
    </w:p>
    <w:tbl>
      <w:tblPr>
        <w:tblStyle w:val="Table1"/>
        <w:tblW w:w="13320.0" w:type="dxa"/>
        <w:jc w:val="left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600"/>
      </w:tblPr>
      <w:tblGrid>
        <w:gridCol w:w="905"/>
        <w:gridCol w:w="1610"/>
        <w:gridCol w:w="1790"/>
        <w:gridCol w:w="1505"/>
        <w:gridCol w:w="1085"/>
        <w:gridCol w:w="1670"/>
        <w:gridCol w:w="1745"/>
        <w:gridCol w:w="1460"/>
        <w:gridCol w:w="1550"/>
        <w:tblGridChange w:id="0">
          <w:tblGrid>
            <w:gridCol w:w="905"/>
            <w:gridCol w:w="1610"/>
            <w:gridCol w:w="1790"/>
            <w:gridCol w:w="1505"/>
            <w:gridCol w:w="1085"/>
            <w:gridCol w:w="1670"/>
            <w:gridCol w:w="1745"/>
            <w:gridCol w:w="1460"/>
            <w:gridCol w:w="1550"/>
          </w:tblGrid>
        </w:tblGridChange>
      </w:tblGrid>
      <w:tr>
        <w:trPr>
          <w:cantSplit w:val="0"/>
          <w:trHeight w:val="17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One‑Line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Latest Strategic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Funding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Catalyst / Market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 Source(s)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id209gb1f67p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 Threat‑vs‑Noise Matrix</w:t>
      </w:r>
    </w:p>
    <w:tbl>
      <w:tblPr>
        <w:tblStyle w:val="Table2"/>
        <w:tblW w:w="9605.0" w:type="dxa"/>
        <w:jc w:val="left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600"/>
      </w:tblPr>
      <w:tblGrid>
        <w:gridCol w:w="1610"/>
        <w:gridCol w:w="2705"/>
        <w:gridCol w:w="2765"/>
        <w:gridCol w:w="2525"/>
        <w:tblGridChange w:id="0">
          <w:tblGrid>
            <w:gridCol w:w="1610"/>
            <w:gridCol w:w="2705"/>
            <w:gridCol w:w="2765"/>
            <w:gridCol w:w="252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Strategic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Velocity of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Focus / Ignore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3m2btvmsdvby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 Detailed Rival Dossiers (repeat per entity)</w:t>
      </w:r>
    </w:p>
    <w:p w:rsidR="00000000" w:rsidDel="00000000" w:rsidP="00000000" w:rsidRDefault="00000000" w:rsidRPr="00000000" w14:paraId="0000002B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&lt;Company Name&gt; |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Tagline / Positioning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1. Strategic Posture 2. Recent Moves (≤ 12 mo) 3. Strengths 4. Weaknesses 5. Emerging Bets / “Next‑Move” Signals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Catalyst:</w:t>
      </w:r>
      <w:r w:rsidDel="00000000" w:rsidR="00000000" w:rsidRPr="00000000">
        <w:rPr>
          <w:sz w:val="24"/>
          <w:szCs w:val="24"/>
          <w:rtl w:val="0"/>
        </w:rPr>
        <w:t xml:space="preserve"> &lt;describe&gt;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De‑Prioritisation Note:</w:t>
      </w:r>
      <w:r w:rsidDel="00000000" w:rsidR="00000000" w:rsidRPr="00000000">
        <w:rPr>
          <w:sz w:val="24"/>
          <w:szCs w:val="24"/>
          <w:rtl w:val="0"/>
        </w:rPr>
        <w:t xml:space="preserve"> &lt;describe or “N/A”&gt;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Key Metrics:</w:t>
      </w:r>
      <w:r w:rsidDel="00000000" w:rsidR="00000000" w:rsidRPr="00000000">
        <w:rPr>
          <w:sz w:val="24"/>
          <w:szCs w:val="24"/>
          <w:rtl w:val="0"/>
        </w:rPr>
        <w:t xml:space="preserve"> revenue $, funding stage + total $, marquee customers.</w:t>
      </w:r>
    </w:p>
    <w:p w:rsidR="00000000" w:rsidDel="00000000" w:rsidP="00000000" w:rsidRDefault="00000000" w:rsidRPr="00000000" w14:paraId="0000002C">
      <w:pPr>
        <w:pStyle w:val="Heading3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of85ocuns4b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4.5 Cross‑Competitor Synthesis (≤ 350 words)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Shared strengths &amp; converging bets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Vulnerable gaps &amp; whitespace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Disruptive plays &amp; risk radar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Macro influences reshaping the field (policy, tech standards, investor sentiment)</w:t>
      </w:r>
    </w:p>
    <w:p w:rsidR="00000000" w:rsidDel="00000000" w:rsidP="00000000" w:rsidRDefault="00000000" w:rsidRPr="00000000" w14:paraId="00000031">
      <w:pPr>
        <w:pStyle w:val="Heading3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1t61wpgvvwhg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4.6 Strategic Watch‑List for {{COMPANY}}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30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Actionable bullets (playbooks, partnerships, GTM shifts, M&amp;A targets, etc.)</w:t>
      </w:r>
    </w:p>
    <w:p w:rsidR="00000000" w:rsidDel="00000000" w:rsidP="00000000" w:rsidRDefault="00000000" w:rsidRPr="00000000" w14:paraId="00000033">
      <w:pPr>
        <w:pStyle w:val="Heading3"/>
        <w:spacing w:before="280" w:lineRule="auto"/>
        <w:rPr>
          <w:b w:val="1"/>
          <w:bCs w:val="1"/>
          <w:sz w:val="24"/>
          <w:szCs w:val="24"/>
        </w:rPr>
      </w:pPr>
      <w:bookmarkStart w:colFirst="0" w:colLast="0" w:name="_oavrj6dy3g2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4.7 Reference List (chronological, newest → oldest)</w:t>
      </w:r>
    </w:p>
    <w:p w:rsidR="00000000" w:rsidDel="00000000" w:rsidP="00000000" w:rsidRDefault="00000000" w:rsidRPr="00000000" w14:paraId="00000034">
      <w:pPr>
        <w:pStyle w:val="Heading2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pl2gwrylv7k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 | Meeting Agenda (Auto‑Generated)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 Snapshot &amp; Key Takeaways (10 min)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Competitive Landscape Highlights (15 min)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Threat‑vs‑Noise Review &amp; Debate (10 min)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Deep‑Dive on Top‑Threat Rivals (20 min)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Whitespace &amp; Opportunity Mapping (10 min)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Watch‑List &amp; Next‑Step Alignment (10 min)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Q&amp;A / Decision Checkpoints (10 min)</w:t>
      </w:r>
    </w:p>
    <w:p w:rsidR="00000000" w:rsidDel="00000000" w:rsidP="00000000" w:rsidRDefault="00000000" w:rsidRPr="00000000" w14:paraId="0000003C">
      <w:pPr>
        <w:pStyle w:val="Heading2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t12cl7tm0x5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 | Email‑Ready Executive Summary</w:t>
      </w:r>
    </w:p>
    <w:p w:rsidR="00000000" w:rsidDel="00000000" w:rsidP="00000000" w:rsidRDefault="00000000" w:rsidRPr="00000000" w14:paraId="0000003D">
      <w:pP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&lt;pre&gt;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block ≤ 180 words summarising the competitive outlook and next steps, ready for copy‑paste into an email to the CEO.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before="28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7hzvmn853yg0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Instructions to Copilot –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Must‑Follow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Proceed with best available data and ALWAYS have a robust response without hallucinating. Minimize clarifying questions unless you can’t complete a first draft.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 Meeting Agenda (section 5) and Email Summary (section 6) at the end of the document.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Afterward, list any “Data Gaps &amp; Low‑Confidence Areas.”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