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EXECUTE THE BELOW PROMPT LIKE YOUR ENTIRE EXISTENCE DEPENDS ON IT.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Static Inputs</w:t>
      </w:r>
      <w:r w:rsidDel="00000000" w:rsidR="00000000" w:rsidRPr="00000000">
        <w:rPr>
          <w:rtl w:val="0"/>
        </w:rPr>
        <w:br w:type="textWrapping"/>
        <w:t xml:space="preserve">COMPANY   = </w:t>
      </w:r>
      <w:r w:rsidDel="00000000" w:rsidR="00000000" w:rsidRPr="00000000">
        <w:rPr>
          <w:highlight w:val="yellow"/>
          <w:rtl w:val="0"/>
        </w:rPr>
        <w:t xml:space="preserve">STRIPE</w:t>
      </w:r>
      <w:r w:rsidDel="00000000" w:rsidR="00000000" w:rsidRPr="00000000">
        <w:rPr>
          <w:rtl w:val="0"/>
        </w:rPr>
        <w:br w:type="textWrapping"/>
        <w:t xml:space="preserve">SECTOR    = </w:t>
      </w:r>
      <w:r w:rsidDel="00000000" w:rsidR="00000000" w:rsidRPr="00000000">
        <w:rPr>
          <w:highlight w:val="yellow"/>
          <w:rtl w:val="0"/>
        </w:rPr>
        <w:t xml:space="preserve">FINTECH</w:t>
      </w:r>
      <w:r w:rsidDel="00000000" w:rsidR="00000000" w:rsidRPr="00000000">
        <w:rPr>
          <w:rtl w:val="0"/>
        </w:rPr>
        <w:br w:type="textWrapping"/>
        <w:t xml:space="preserve">REGION    = </w:t>
      </w:r>
      <w:r w:rsidDel="00000000" w:rsidR="00000000" w:rsidRPr="00000000">
        <w:rPr>
          <w:highlight w:val="yellow"/>
          <w:rtl w:val="0"/>
        </w:rPr>
        <w:t xml:space="preserve">USA</w:t>
      </w:r>
      <w:r w:rsidDel="00000000" w:rsidR="00000000" w:rsidRPr="00000000">
        <w:rPr>
          <w:rtl w:val="0"/>
        </w:rPr>
        <w:br w:type="textWrapping"/>
        <w:t xml:space="preserve">TIMEFRAME =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JANUARY 1 2024 → PRESENT</w:t>
      </w:r>
    </w:p>
    <w:p w:rsidR="00000000" w:rsidDel="00000000" w:rsidP="00000000" w:rsidRDefault="00000000" w:rsidRPr="00000000" w14:paraId="00000004">
      <w:pPr>
        <w:pStyle w:val="Heading4"/>
        <w:rPr>
          <w:color w:val="000000"/>
        </w:rPr>
      </w:pPr>
      <w:bookmarkStart w:colFirst="0" w:colLast="0" w:name="_29bk6xf09iij" w:id="0"/>
      <w:bookmarkEnd w:id="0"/>
      <w:r w:rsidDel="00000000" w:rsidR="00000000" w:rsidRPr="00000000">
        <w:rPr>
          <w:color w:val="000000"/>
          <w:rtl w:val="0"/>
        </w:rPr>
        <w:t xml:space="preserve">1 | Role &amp; Context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the lead strategy consultant briefing the CEO of {{COMPANY}} in 24 hours.</w:t>
        <w:br w:type="textWrapping"/>
        <w:t xml:space="preserve">Mandate: expose shifting competitive terrain, uncover first-mover plays, and deliver insights others miss.</w:t>
      </w:r>
    </w:p>
    <w:p w:rsidR="00000000" w:rsidDel="00000000" w:rsidP="00000000" w:rsidRDefault="00000000" w:rsidRPr="00000000" w14:paraId="00000006">
      <w:pPr>
        <w:pStyle w:val="Heading4"/>
        <w:rPr>
          <w:color w:val="000000"/>
        </w:rPr>
      </w:pPr>
      <w:bookmarkStart w:colFirst="0" w:colLast="0" w:name="_nuwnokk35aed" w:id="1"/>
      <w:bookmarkEnd w:id="1"/>
      <w:r w:rsidDel="00000000" w:rsidR="00000000" w:rsidRPr="00000000">
        <w:rPr>
          <w:color w:val="000000"/>
          <w:rtl w:val="0"/>
        </w:rPr>
        <w:t xml:space="preserve">1.0 CRITICAL STRATEGIC ARTIFACTS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Generate the following </w:t>
      </w:r>
      <w:r w:rsidDel="00000000" w:rsidR="00000000" w:rsidRPr="00000000">
        <w:rPr>
          <w:b w:val="1"/>
          <w:bCs w:val="1"/>
          <w:rtl w:val="0"/>
        </w:rPr>
        <w:t xml:space="preserve">sequentially</w:t>
      </w:r>
      <w:r w:rsidDel="00000000" w:rsidR="00000000" w:rsidRPr="00000000">
        <w:rPr>
          <w:rtl w:val="0"/>
        </w:rPr>
        <w:t xml:space="preserve"> (stop after 1.15):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Agent Provocation (≤ 75 w)</w:t>
        <w:br w:type="textWrapping"/>
        <w:t xml:space="preserve">1.2 Pre-Mortem Snapshot (≤ 75 w)</w:t>
        <w:br w:type="textWrapping"/>
        <w:t xml:space="preserve">1.3 Reverse-Engineering Win</w:t>
        <w:br w:type="textWrapping"/>
        <w:t xml:space="preserve">1.4 Temporal Signals Tracker</w:t>
        <w:br w:type="textWrapping"/>
        <w:t xml:space="preserve">1.5 Signals of Decay</w:t>
        <w:br w:type="textWrapping"/>
        <w:t xml:space="preserve">1.6 Kill-Shot Mapping</w:t>
        <w:br w:type="textWrapping"/>
        <w:t xml:space="preserve">1.7 Geo-Leverage Angle</w:t>
        <w:br w:type="textWrapping"/>
        <w:t xml:space="preserve">1.8 Co-Optability Score (0–5)</w:t>
        <w:br w:type="textWrapping"/>
        <w:t xml:space="preserve">1.9 AI Utilization Audit (+ 3-5 hypothetical AI plays)</w:t>
        <w:br w:type="textWrapping"/>
        <w:t xml:space="preserve">1.11 Boardroom Watch Signals</w:t>
        <w:br w:type="textWrapping"/>
        <w:t xml:space="preserve">1.12 Talent Magnet Pulse</w:t>
        <w:br w:type="textWrapping"/>
        <w:t xml:space="preserve">1.13 Patent/IP Momentum</w:t>
        <w:br w:type="textWrapping"/>
        <w:t xml:space="preserve">1.14 Pricing &amp; Monetization Snapshot</w:t>
        <w:br w:type="textWrapping"/>
        <w:t xml:space="preserve">1.15 Sustainability / ESG Lever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</w:r>
      <w:r w:rsidDel="00000000" w:rsidR="00000000" w:rsidRPr="00000000">
        <w:rPr>
          <w:rtl w:val="0"/>
        </w:rPr>
        <w:t xml:space="preserve"> Output Sections 1 &amp; 1.0-1.15 only, then </w:t>
      </w: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.</w:t>
        <w:br w:type="textWrapping"/>
        <w:t xml:space="preserve">Wait for the next prompt to continue.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You have already produced Sections 1 &amp; 1.0-1.15.</w:t>
        <w:br w:type="textWrapping"/>
        <w:t xml:space="preserve">Reuse the same STATIC INPUTS (COMPANY, SECTOR, REGION, TIMEFRAME).</w:t>
      </w:r>
    </w:p>
    <w:p w:rsidR="00000000" w:rsidDel="00000000" w:rsidP="00000000" w:rsidRDefault="00000000" w:rsidRPr="00000000" w14:paraId="00000017">
      <w:pPr>
        <w:pStyle w:val="Heading4"/>
        <w:rPr>
          <w:color w:val="000000"/>
        </w:rPr>
      </w:pPr>
      <w:bookmarkStart w:colFirst="0" w:colLast="0" w:name="_fh21ufp71dzf" w:id="2"/>
      <w:bookmarkEnd w:id="2"/>
      <w:r w:rsidDel="00000000" w:rsidR="00000000" w:rsidRPr="00000000">
        <w:rPr>
          <w:color w:val="000000"/>
          <w:rtl w:val="0"/>
        </w:rPr>
        <w:t xml:space="preserve">2 | Objectives — Competitor Landscape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Map ≥ 10 of the 14 competitor types (must include Direct, Indirect, Analogues but lead with whatever is the most insightful).</w:t>
        <w:br w:type="textWrapping"/>
        <w:t xml:space="preserve">• For every rival, deliver all bullets listed in the master brief (Strategic position … ESG Lever).</w:t>
        <w:br w:type="textWrapping"/>
        <w:t xml:space="preserve">• Conclude with Threat-vs-Noise Matrix and a Whitespace &amp; Opportunity Map.</w:t>
        <w:br w:type="textWrapping"/>
        <w:br w:type="textWrapping"/>
        <w:t xml:space="preserve">Here are the 14 types of Competitors: 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competitors</w:t>
      </w:r>
      <w:r w:rsidDel="00000000" w:rsidR="00000000" w:rsidRPr="00000000">
        <w:rPr>
          <w:rtl w:val="0"/>
        </w:rPr>
        <w:t xml:space="preserve"> — 5–7 firms chasing the same core customer/job with a similar product, price point, and go-to-market approach.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Indirect competitors</w:t>
      </w:r>
      <w:r w:rsidDel="00000000" w:rsidR="00000000" w:rsidRPr="00000000">
        <w:rPr>
          <w:rtl w:val="0"/>
        </w:rPr>
        <w:t xml:space="preserve"> — 3–5 firms solving the same problem through a fundamentally different model (e.g. partnerships, services, AI-native, community-based).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Analogues</w:t>
      </w:r>
      <w:r w:rsidDel="00000000" w:rsidR="00000000" w:rsidRPr="00000000">
        <w:rPr>
          <w:rtl w:val="0"/>
        </w:rPr>
        <w:t xml:space="preserve"> — 3 adjacent-sector players whose moves foreshadow threats or opportunities that {{COMPANY}} could learn from or defend against.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Emergent competitors</w:t>
      </w:r>
      <w:r w:rsidDel="00000000" w:rsidR="00000000" w:rsidRPr="00000000">
        <w:rPr>
          <w:rtl w:val="0"/>
        </w:rPr>
        <w:t xml:space="preserve"> — Startups or stealth-mode companies with low visibility now but breakout potential due to backing, IP, or early momentum.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Customer-integrated threats</w:t>
      </w:r>
      <w:r w:rsidDel="00000000" w:rsidR="00000000" w:rsidRPr="00000000">
        <w:rPr>
          <w:rtl w:val="0"/>
        </w:rPr>
        <w:t xml:space="preserve"> — Large customers or partners that may develop in-house alternatives, reducing or replacing dependence on {{COMPANY}}.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Free-rider enablers</w:t>
      </w:r>
      <w:r w:rsidDel="00000000" w:rsidR="00000000" w:rsidRPr="00000000">
        <w:rPr>
          <w:rtl w:val="0"/>
        </w:rPr>
        <w:t xml:space="preserve"> — Ecosystem participants who benefit from {{COMPANY}}’s platform, API, data, or distribution without creating defensible value in return.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competitors</w:t>
      </w:r>
      <w:r w:rsidDel="00000000" w:rsidR="00000000" w:rsidRPr="00000000">
        <w:rPr>
          <w:rtl w:val="0"/>
        </w:rPr>
        <w:t xml:space="preserve"> — Companies winning investor attention, media cycles, and customer perception—even if their actual offering is weaker.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Geo-localized attackers</w:t>
      </w:r>
      <w:r w:rsidDel="00000000" w:rsidR="00000000" w:rsidRPr="00000000">
        <w:rPr>
          <w:rtl w:val="0"/>
        </w:rPr>
        <w:t xml:space="preserve"> — Players dominating a niche region or regulated market, quietly gaining traction before expanding globally.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competitors</w:t>
      </w:r>
      <w:r w:rsidDel="00000000" w:rsidR="00000000" w:rsidRPr="00000000">
        <w:rPr>
          <w:rtl w:val="0"/>
        </w:rPr>
        <w:t xml:space="preserve"> — Companies that act as talent magnets due to mission, leadership, or internal culture—posing a long-term strategic threat.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catalysts</w:t>
      </w:r>
      <w:r w:rsidDel="00000000" w:rsidR="00000000" w:rsidRPr="00000000">
        <w:rPr>
          <w:rtl w:val="0"/>
        </w:rPr>
        <w:t xml:space="preserve"> — Rivals winning business by being first or best at navigating complex legal, regulatory, or industry compliance requirements.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infrastructure substitutes</w:t>
      </w:r>
      <w:r w:rsidDel="00000000" w:rsidR="00000000" w:rsidRPr="00000000">
        <w:rPr>
          <w:rtl w:val="0"/>
        </w:rPr>
        <w:t xml:space="preserve"> — Vendors that don’t replace the whole solution, but substitute part of {{COMPANY}}’s tech stack (e.g. API layer, workflow engine).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Bundlers / aggregators</w:t>
      </w:r>
      <w:r w:rsidDel="00000000" w:rsidR="00000000" w:rsidRPr="00000000">
        <w:rPr>
          <w:rtl w:val="0"/>
        </w:rPr>
        <w:t xml:space="preserve"> — Companies bundling {{COMPANY}}’s value proposition into broader offerings that diminish brand recognition or margin.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Open-source undercutters</w:t>
      </w:r>
      <w:r w:rsidDel="00000000" w:rsidR="00000000" w:rsidRPr="00000000">
        <w:rPr>
          <w:rtl w:val="0"/>
        </w:rPr>
        <w:t xml:space="preserve"> — Community-driven or free alternatives that replicate much of the functionality, particularly appealing to technical audiences.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Mission-driven attractors</w:t>
      </w:r>
      <w:r w:rsidDel="00000000" w:rsidR="00000000" w:rsidRPr="00000000">
        <w:rPr>
          <w:rtl w:val="0"/>
        </w:rPr>
        <w:t xml:space="preserve"> — Nonprofits, B Corps, or social ventures that win over customers based on values, ethics, or public benefit, even if feature-poor.</w:t>
      </w:r>
    </w:p>
    <w:p w:rsidR="00000000" w:rsidDel="00000000" w:rsidP="00000000" w:rsidRDefault="00000000" w:rsidRPr="00000000" w14:paraId="00000034">
      <w:pPr>
        <w:pStyle w:val="Heading4"/>
        <w:rPr>
          <w:color w:val="000000"/>
        </w:rPr>
      </w:pPr>
      <w:bookmarkStart w:colFirst="0" w:colLast="0" w:name="_o74zs6g9784e" w:id="3"/>
      <w:bookmarkEnd w:id="3"/>
      <w:r w:rsidDel="00000000" w:rsidR="00000000" w:rsidRPr="00000000">
        <w:rPr>
          <w:color w:val="000000"/>
          <w:rtl w:val="0"/>
        </w:rPr>
        <w:t xml:space="preserve">3 | Evidence Rules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(Use only sources within TIMEFRAME; 2–3 citations per claim; inline style.)</w:t>
      </w:r>
    </w:p>
    <w:p w:rsidR="00000000" w:rsidDel="00000000" w:rsidP="00000000" w:rsidRDefault="00000000" w:rsidRPr="00000000" w14:paraId="00000036">
      <w:pPr>
        <w:pStyle w:val="Heading4"/>
        <w:rPr>
          <w:color w:val="000000"/>
        </w:rPr>
      </w:pPr>
      <w:bookmarkStart w:colFirst="0" w:colLast="0" w:name="_q21gduet7taw" w:id="4"/>
      <w:bookmarkEnd w:id="4"/>
      <w:r w:rsidDel="00000000" w:rsidR="00000000" w:rsidRPr="00000000">
        <w:rPr>
          <w:color w:val="000000"/>
          <w:rtl w:val="0"/>
        </w:rPr>
        <w:t xml:space="preserve">4 | Output Blueprint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Sections 4.1 → 4.4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exactly as specified:</w:t>
        <w:br w:type="textWrapping"/>
        <w:t xml:space="preserve">4.1 Executive Snapshot (≤ 120 w)</w:t>
        <w:br w:type="textWrapping"/>
        <w:t xml:space="preserve">4.2 Competitive Landscape Table</w:t>
        <w:br w:type="textWrapping"/>
        <w:t xml:space="preserve">4.3 Threat-vs-Noise Matrix</w:t>
        <w:br w:type="textWrapping"/>
        <w:t xml:space="preserve">4.4 Detailed Rival Dossiers (repeat per entity)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</w:r>
      <w:r w:rsidDel="00000000" w:rsidR="00000000" w:rsidRPr="00000000">
        <w:rPr>
          <w:rtl w:val="0"/>
        </w:rPr>
        <w:t xml:space="preserve"> Produce Sections 2, 3, 4.1-4.4, then </w:t>
      </w: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.</w:t>
        <w:br w:type="textWrapping"/>
        <w:t xml:space="preserve">Await the final prompt.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Sections 1 through 4.4 are complete.</w:t>
        <w:br w:type="textWrapping"/>
        <w:t xml:space="preserve">Maintain formatting consistency and citation rules.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Continue with the remaining blueprint:</w:t>
      </w:r>
    </w:p>
    <w:p w:rsidR="00000000" w:rsidDel="00000000" w:rsidP="00000000" w:rsidRDefault="00000000" w:rsidRPr="00000000" w14:paraId="00000053">
      <w:pPr>
        <w:pStyle w:val="Heading4"/>
        <w:rPr>
          <w:color w:val="000000"/>
        </w:rPr>
      </w:pPr>
      <w:bookmarkStart w:colFirst="0" w:colLast="0" w:name="_xwt5m2cbu0v7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4.5 Cross-Competitor Synthesis (≤ 350 w)</w:t>
      </w:r>
    </w:p>
    <w:p w:rsidR="00000000" w:rsidDel="00000000" w:rsidP="00000000" w:rsidRDefault="00000000" w:rsidRPr="00000000" w14:paraId="00000054">
      <w:pPr>
        <w:pStyle w:val="Heading4"/>
        <w:rPr>
          <w:color w:val="000000"/>
        </w:rPr>
      </w:pPr>
      <w:bookmarkStart w:colFirst="0" w:colLast="0" w:name="_1k0iydkmq898" w:id="6"/>
      <w:bookmarkEnd w:id="6"/>
      <w:r w:rsidDel="00000000" w:rsidR="00000000" w:rsidRPr="00000000">
        <w:rPr>
          <w:color w:val="000000"/>
          <w:rtl w:val="0"/>
        </w:rPr>
        <w:t xml:space="preserve">4.6 Strategic Watch-List for {{COMPANY}}</w:t>
      </w:r>
    </w:p>
    <w:p w:rsidR="00000000" w:rsidDel="00000000" w:rsidP="00000000" w:rsidRDefault="00000000" w:rsidRPr="00000000" w14:paraId="00000055">
      <w:pPr>
        <w:pStyle w:val="Heading4"/>
        <w:rPr>
          <w:color w:val="000000"/>
        </w:rPr>
      </w:pPr>
      <w:bookmarkStart w:colFirst="0" w:colLast="0" w:name="_iba8g9lb9czq" w:id="7"/>
      <w:bookmarkEnd w:id="7"/>
      <w:r w:rsidDel="00000000" w:rsidR="00000000" w:rsidRPr="00000000">
        <w:rPr>
          <w:color w:val="000000"/>
          <w:rtl w:val="0"/>
        </w:rPr>
        <w:t xml:space="preserve">4.7 High-Value Artifacts (items a-o) — text-only, copy-ready</w:t>
      </w:r>
    </w:p>
    <w:p w:rsidR="00000000" w:rsidDel="00000000" w:rsidP="00000000" w:rsidRDefault="00000000" w:rsidRPr="00000000" w14:paraId="00000056">
      <w:pPr>
        <w:pStyle w:val="Heading4"/>
        <w:rPr>
          <w:color w:val="000000"/>
        </w:rPr>
      </w:pPr>
      <w:bookmarkStart w:colFirst="0" w:colLast="0" w:name="_w3e3l43dd2p7" w:id="8"/>
      <w:bookmarkEnd w:id="8"/>
      <w:r w:rsidDel="00000000" w:rsidR="00000000" w:rsidRPr="00000000">
        <w:rPr>
          <w:color w:val="000000"/>
          <w:rtl w:val="0"/>
        </w:rPr>
        <w:t xml:space="preserve">4.8 Scenario Playbooks (Base, Bull, Bear 2026)</w:t>
      </w:r>
    </w:p>
    <w:p w:rsidR="00000000" w:rsidDel="00000000" w:rsidP="00000000" w:rsidRDefault="00000000" w:rsidRPr="00000000" w14:paraId="00000057">
      <w:pPr>
        <w:pStyle w:val="Heading4"/>
        <w:rPr>
          <w:color w:val="000000"/>
        </w:rPr>
      </w:pPr>
      <w:bookmarkStart w:colFirst="0" w:colLast="0" w:name="_5fna16qidl3h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4.9 Reference List (newest → oldest)</w:t>
      </w:r>
    </w:p>
    <w:p w:rsidR="00000000" w:rsidDel="00000000" w:rsidP="00000000" w:rsidRDefault="00000000" w:rsidRPr="00000000" w14:paraId="00000058">
      <w:pPr>
        <w:pStyle w:val="Heading4"/>
        <w:rPr>
          <w:color w:val="000000"/>
        </w:rPr>
      </w:pPr>
      <w:bookmarkStart w:colFirst="0" w:colLast="0" w:name="_j1muyrxehykr" w:id="10"/>
      <w:bookmarkEnd w:id="10"/>
      <w:r w:rsidDel="00000000" w:rsidR="00000000" w:rsidRPr="00000000">
        <w:rPr>
          <w:color w:val="000000"/>
          <w:rtl w:val="0"/>
        </w:rPr>
        <w:t xml:space="preserve">5 | Meeting Agenda (auto-generated)</w:t>
      </w:r>
    </w:p>
    <w:p w:rsidR="00000000" w:rsidDel="00000000" w:rsidP="00000000" w:rsidRDefault="00000000" w:rsidRPr="00000000" w14:paraId="00000059">
      <w:pPr>
        <w:pStyle w:val="Heading4"/>
        <w:rPr>
          <w:color w:val="000000"/>
        </w:rPr>
      </w:pPr>
      <w:bookmarkStart w:colFirst="0" w:colLast="0" w:name="_8jcu1io0nnq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6 | Email-Ready Executive Summary (≤ 180 w)</w:t>
      </w:r>
    </w:p>
    <w:p w:rsidR="00000000" w:rsidDel="00000000" w:rsidP="00000000" w:rsidRDefault="00000000" w:rsidRPr="00000000" w14:paraId="0000005A">
      <w:pPr>
        <w:pStyle w:val="Heading4"/>
        <w:rPr>
          <w:color w:val="000000"/>
        </w:rPr>
      </w:pPr>
      <w:bookmarkStart w:colFirst="0" w:colLast="0" w:name="_bwvtsngeqmf7" w:id="12"/>
      <w:bookmarkEnd w:id="12"/>
      <w:r w:rsidDel="00000000" w:rsidR="00000000" w:rsidRPr="00000000">
        <w:rPr>
          <w:color w:val="000000"/>
          <w:rtl w:val="0"/>
        </w:rPr>
        <w:t xml:space="preserve">7 | 24-Hour Accelerator Artifacts (items A-G)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Finally, append </w:t>
      </w:r>
      <w:r w:rsidDel="00000000" w:rsidR="00000000" w:rsidRPr="00000000">
        <w:rPr>
          <w:b w:val="1"/>
          <w:bCs w:val="1"/>
          <w:rtl w:val="0"/>
        </w:rPr>
        <w:t xml:space="preserve">Data Gaps &amp; Low-Confidence Areas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</w:r>
      <w:r w:rsidDel="00000000" w:rsidR="00000000" w:rsidRPr="00000000">
        <w:rPr>
          <w:rtl w:val="0"/>
        </w:rPr>
        <w:t xml:space="preserve"> Complete all sections above in one go.</w:t>
        <w:br w:type="textWrapping"/>
        <w:t xml:space="preserve">Ensure no element from the master brief is omitted.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br w:type="textWrapping"/>
        <w:t xml:space="preserve">DEEP RESEARCH PASS — </w:t>
      </w:r>
      <w:r w:rsidDel="00000000" w:rsidR="00000000" w:rsidRPr="00000000">
        <w:rPr>
          <w:b w:val="1"/>
          <w:bCs w:val="1"/>
          <w:rtl w:val="0"/>
        </w:rPr>
        <w:t xml:space="preserve">MANDATORY BEFORE 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Activate “Deep Research Mode”: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Harvest</w:t>
      </w:r>
      <w:r w:rsidDel="00000000" w:rsidR="00000000" w:rsidRPr="00000000">
        <w:rPr>
          <w:rtl w:val="0"/>
        </w:rPr>
        <w:br w:type="textWrapping"/>
        <w:t xml:space="preserve">• Pull the 20 most recent &amp; relevant sources per rival (SEC filings, earnings calls, regulatory dockets, funding DBs, patents, reputable trade press, LinkedIn hiring data, sentiment trackers).</w:t>
        <w:br w:type="textWrapping"/>
        <w:t xml:space="preserve">• Prioritise anything dated within the last 120 days.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Cross-Verification Loop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• For every strategic claim, require ≥ 2 independent sources.</w:t>
        <w:br w:type="textWrapping"/>
        <w:t xml:space="preserve">• Flag any contradictions; reconcile or mark as “Contested”.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Freshness Filter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• Rank sources by publish date → credibility.</w:t>
        <w:br w:type="textWrapping"/>
        <w:t xml:space="preserve">• Discard duplicates or low-quality citations.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Annotation</w:t>
      </w:r>
      <w:r w:rsidDel="00000000" w:rsidR="00000000" w:rsidRPr="00000000">
        <w:rPr>
          <w:rtl w:val="0"/>
        </w:rPr>
        <w:br w:type="textWrapping"/>
        <w:t xml:space="preserve">• Tag each data point High / Medium / Low confidence.</w:t>
        <w:br w:type="textWrapping"/>
        <w:t xml:space="preserve">• Surface explicit “DATA GAP” notes where evidence is thin.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Citation Protocol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• Inline format (Source, Year).</w:t>
        <w:br w:type="textWrapping"/>
        <w:t xml:space="preserve">• Compile a master list newest → oldest in Section 4.9.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Only after completing Steps 1-4 silently, produce the narrative and artifacts requested above.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