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BEEF6B">
      <w:pPr>
        <w:jc w:val="center"/>
        <w:rPr>
          <w:rFonts w:hint="eastAsia" w:ascii="Times New Roman" w:hAnsi="Times New Roman" w:eastAsia="楷体"/>
          <w:b/>
          <w:bCs/>
          <w:sz w:val="30"/>
          <w:szCs w:val="30"/>
        </w:rPr>
      </w:pPr>
      <w:r>
        <w:rPr>
          <w:rFonts w:hint="eastAsia" w:ascii="Times New Roman" w:hAnsi="Times New Roman" w:eastAsia="楷体"/>
          <w:b/>
          <w:bCs/>
          <w:sz w:val="30"/>
          <w:szCs w:val="30"/>
        </w:rPr>
        <w:t>家庭健康管理检测指标</w:t>
      </w:r>
    </w:p>
    <w:p w14:paraId="77953902">
      <w:pPr>
        <w:jc w:val="center"/>
        <w:rPr>
          <w:rFonts w:hint="eastAsia" w:ascii="Times New Roman" w:hAnsi="Times New Roman" w:eastAsia="楷体"/>
          <w:b/>
          <w:bCs/>
          <w:sz w:val="30"/>
          <w:szCs w:val="30"/>
          <w:lang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/>
          <w:b w:val="0"/>
          <w:bCs w:val="0"/>
          <w:sz w:val="24"/>
          <w:szCs w:val="24"/>
          <w:lang w:val="en-US" w:eastAsia="zh-CN"/>
        </w:rPr>
        <w:t>均为设备可检测值</w:t>
      </w:r>
      <w:r>
        <w:rPr>
          <w:rFonts w:hint="eastAsia" w:ascii="Times New Roman" w:hAnsi="Times New Roman" w:eastAsia="楷体"/>
          <w:b w:val="0"/>
          <w:bCs w:val="0"/>
          <w:sz w:val="24"/>
          <w:szCs w:val="24"/>
          <w:lang w:eastAsia="zh-CN"/>
        </w:rPr>
        <w:t>）</w:t>
      </w:r>
    </w:p>
    <w:p w14:paraId="27B83225">
      <w:pPr>
        <w:wordWrap w:val="0"/>
        <w:rPr>
          <w:rFonts w:hint="default" w:ascii="Times New Roman" w:hAnsi="Times New Roman" w:eastAsia="楷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/>
          <w:b/>
          <w:bCs/>
          <w:sz w:val="28"/>
          <w:szCs w:val="28"/>
        </w:rPr>
        <w:t>一、</w:t>
      </w:r>
      <w:r>
        <w:rPr>
          <w:rFonts w:hint="eastAsia" w:ascii="Times New Roman" w:hAnsi="Times New Roman" w:eastAsia="楷体"/>
          <w:b/>
          <w:bCs/>
          <w:sz w:val="28"/>
          <w:szCs w:val="28"/>
          <w:lang w:val="en-US" w:eastAsia="zh-CN"/>
        </w:rPr>
        <w:t>代谢基础监测（一级</w:t>
      </w:r>
      <w:bookmarkStart w:id="0" w:name="_GoBack"/>
      <w:bookmarkEnd w:id="0"/>
      <w:r>
        <w:rPr>
          <w:rFonts w:hint="eastAsia" w:ascii="Times New Roman" w:hAnsi="Times New Roman" w:eastAsia="楷体"/>
          <w:b/>
          <w:bCs/>
          <w:sz w:val="28"/>
          <w:szCs w:val="28"/>
          <w:lang w:val="en-US" w:eastAsia="zh-CN"/>
        </w:rPr>
        <w:t>营养与饮食管理-）</w:t>
      </w:r>
    </w:p>
    <w:p w14:paraId="5A3F7F39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0484461C">
      <w:pPr>
        <w:wordWrap w:val="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（1）总胆固醇（TC）</w:t>
      </w:r>
    </w:p>
    <w:p w14:paraId="235D9465">
      <w:pPr>
        <w:wordWrap w:val="0"/>
        <w:ind w:firstLine="480" w:firstLineChars="200"/>
        <w:rPr>
          <w:rFonts w:hint="eastAsia" w:ascii="Times New Roman" w:hAnsi="Times New Roman" w:eastAsia="楷体"/>
          <w:sz w:val="24"/>
          <w:lang w:eastAsia="zh-CN"/>
        </w:rPr>
      </w:pPr>
      <w:r>
        <w:rPr>
          <w:rFonts w:hint="eastAsia" w:ascii="Times New Roman" w:hAnsi="Times New Roman" w:eastAsia="楷体"/>
          <w:sz w:val="24"/>
        </w:rPr>
        <w:t>含义： 总胆固醇反映体内全部胆固醇水平，是判断血脂是否过高的基础指标；偏高提示心血管负担增加，需要关注饮食与代谢状态</w:t>
      </w:r>
      <w:r>
        <w:rPr>
          <w:rFonts w:hint="eastAsia" w:ascii="Times New Roman" w:hAnsi="Times New Roman" w:eastAsia="楷体"/>
          <w:sz w:val="24"/>
          <w:lang w:eastAsia="zh-CN"/>
        </w:rPr>
        <w:t>。</w:t>
      </w:r>
    </w:p>
    <w:p w14:paraId="57F66038">
      <w:pPr>
        <w:numPr>
          <w:ilvl w:val="0"/>
          <w:numId w:val="1"/>
        </w:numPr>
        <w:wordWrap w:val="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低密度脂蛋白胆固醇（LDL-C）</w:t>
      </w:r>
    </w:p>
    <w:p w14:paraId="6345B144">
      <w:pPr>
        <w:numPr>
          <w:ilvl w:val="0"/>
          <w:numId w:val="0"/>
        </w:numPr>
        <w:wordWrap w:val="0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含义： 低密度脂蛋白胆固醇（LDL-C）是容易在血管壁沉积的“有害胆固醇”，偏高表示动脉硬化和心血管风险上升，需要重点警惕。</w:t>
      </w:r>
    </w:p>
    <w:p w14:paraId="6A2B8B95">
      <w:pPr>
        <w:numPr>
          <w:ilvl w:val="0"/>
          <w:numId w:val="1"/>
        </w:numPr>
        <w:wordWrap w:val="0"/>
        <w:ind w:left="0" w:leftChars="0" w:firstLine="0" w:firstLineChars="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高密度脂蛋白胆固醇（HDL-C）</w:t>
      </w:r>
    </w:p>
    <w:p w14:paraId="5D8654FC">
      <w:pPr>
        <w:numPr>
          <w:ilvl w:val="0"/>
          <w:numId w:val="0"/>
        </w:numPr>
        <w:wordWrap w:val="0"/>
        <w:ind w:leftChars="0"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含义： 高密度脂蛋白胆固醇是帮助清除血管内脂质的“保护性胆固醇”，偏低说明清除能力不足，心血管保护作用下降。</w:t>
      </w:r>
    </w:p>
    <w:p w14:paraId="0B1E7D67">
      <w:pPr>
        <w:numPr>
          <w:ilvl w:val="0"/>
          <w:numId w:val="1"/>
        </w:numPr>
        <w:wordWrap w:val="0"/>
        <w:ind w:left="0" w:leftChars="0" w:firstLine="0" w:firstLineChars="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甘油三酯（TG）</w:t>
      </w:r>
    </w:p>
    <w:p w14:paraId="58735E8F">
      <w:pPr>
        <w:numPr>
          <w:ilvl w:val="0"/>
          <w:numId w:val="0"/>
        </w:numPr>
        <w:wordWrap w:val="0"/>
        <w:ind w:leftChars="0"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含义： 甘油三酯反映体内脂肪与能量代谢状况，升高常提示高脂饮食、代谢压力或胰岛素调节异常。</w:t>
      </w:r>
    </w:p>
    <w:p w14:paraId="026B6261">
      <w:pPr>
        <w:numPr>
          <w:ilvl w:val="0"/>
          <w:numId w:val="1"/>
        </w:numPr>
        <w:wordWrap w:val="0"/>
        <w:ind w:left="0" w:leftChars="0" w:firstLine="0" w:firstLineChars="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 xml:space="preserve">血糖（FPG） </w:t>
      </w:r>
    </w:p>
    <w:p w14:paraId="71EDF6C3">
      <w:pPr>
        <w:numPr>
          <w:ilvl w:val="0"/>
          <w:numId w:val="0"/>
        </w:numPr>
        <w:wordWrap w:val="0"/>
        <w:ind w:leftChars="0"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含义： 空腹血糖表示身体基础血糖水平，偏高说明糖代谢开始出现异常变化，是糖尿病风险的重要早期信号。</w:t>
      </w:r>
    </w:p>
    <w:p w14:paraId="5AB654FE">
      <w:pPr>
        <w:numPr>
          <w:ilvl w:val="0"/>
          <w:numId w:val="1"/>
        </w:numPr>
        <w:wordWrap w:val="0"/>
        <w:ind w:left="0" w:leftChars="0" w:firstLine="0" w:firstLineChars="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随机血糖（RPG）</w:t>
      </w:r>
    </w:p>
    <w:p w14:paraId="251C37C8">
      <w:pPr>
        <w:numPr>
          <w:ilvl w:val="0"/>
          <w:numId w:val="0"/>
        </w:numPr>
        <w:wordWrap w:val="0"/>
        <w:ind w:leftChars="0"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含义： 随机血糖显示任意时间的血糖负荷，数值偏高提示进食后血糖调节能力不足或胰岛素反应下降。</w:t>
      </w:r>
    </w:p>
    <w:p w14:paraId="5DF52122">
      <w:pPr>
        <w:wordWrap w:val="0"/>
        <w:rPr>
          <w:rFonts w:ascii="Times New Roman" w:hAnsi="Times New Roman" w:eastAsia="楷体"/>
          <w:b/>
          <w:bCs/>
          <w:sz w:val="24"/>
        </w:rPr>
      </w:pPr>
    </w:p>
    <w:p w14:paraId="345329E5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2. 具体指标范围</w:t>
      </w:r>
    </w:p>
    <w:tbl>
      <w:tblPr>
        <w:tblStyle w:val="2"/>
        <w:tblW w:w="9106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7"/>
        <w:gridCol w:w="1434"/>
        <w:gridCol w:w="2295"/>
        <w:gridCol w:w="3000"/>
      </w:tblGrid>
      <w:tr w14:paraId="15FF0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332" w:type="dxa"/>
            <w:vAlign w:val="center"/>
          </w:tcPr>
          <w:p w14:paraId="024386D7">
            <w:pPr>
              <w:wordWrap w:val="0"/>
              <w:rPr>
                <w:rFonts w:hint="eastAsia" w:ascii="Times New Roman" w:hAnsi="Times New Roman" w:eastAsia="楷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指标</w:t>
            </w: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项</w:t>
            </w:r>
          </w:p>
        </w:tc>
        <w:tc>
          <w:tcPr>
            <w:tcW w:w="1404" w:type="dxa"/>
            <w:vAlign w:val="center"/>
          </w:tcPr>
          <w:p w14:paraId="52614B96">
            <w:pPr>
              <w:wordWrap w:val="0"/>
              <w:rPr>
                <w:rFonts w:hint="eastAsia" w:ascii="Times New Roman" w:hAnsi="Times New Roman" w:eastAsia="楷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结果</w:t>
            </w:r>
          </w:p>
        </w:tc>
        <w:tc>
          <w:tcPr>
            <w:tcW w:w="2265" w:type="dxa"/>
            <w:vAlign w:val="center"/>
          </w:tcPr>
          <w:p w14:paraId="1636A661">
            <w:pPr>
              <w:wordWrap w:val="0"/>
              <w:rPr>
                <w:rFonts w:hint="eastAsia" w:ascii="Times New Roman" w:hAnsi="Times New Roman" w:eastAsia="楷体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参考值</w:t>
            </w:r>
          </w:p>
        </w:tc>
        <w:tc>
          <w:tcPr>
            <w:tcW w:w="2955" w:type="dxa"/>
            <w:vAlign w:val="center"/>
          </w:tcPr>
          <w:p w14:paraId="7A7EC949">
            <w:pPr>
              <w:wordWrap w:val="0"/>
              <w:rPr>
                <w:rFonts w:hint="eastAsia" w:ascii="Times New Roman" w:hAnsi="Times New Roman" w:eastAsia="楷体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提示</w:t>
            </w:r>
          </w:p>
        </w:tc>
      </w:tr>
      <w:tr w14:paraId="122CA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32" w:type="dxa"/>
            <w:vAlign w:val="center"/>
          </w:tcPr>
          <w:p w14:paraId="1C4C3F44">
            <w:pPr>
              <w:wordWrap w:val="0"/>
              <w:rPr>
                <w:rFonts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总胆固醇（TC）</w:t>
            </w:r>
          </w:p>
        </w:tc>
        <w:tc>
          <w:tcPr>
            <w:tcW w:w="1404" w:type="dxa"/>
            <w:vAlign w:val="center"/>
          </w:tcPr>
          <w:p w14:paraId="4D7BBADA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正常</w:t>
            </w:r>
          </w:p>
          <w:p w14:paraId="4708C19F">
            <w:pPr>
              <w:wordWrap w:val="0"/>
              <w:rPr>
                <w:rFonts w:hint="eastAsia" w:ascii="Times New Roman" w:hAnsi="Times New Roman" w:eastAsia="楷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预警</w:t>
            </w:r>
          </w:p>
          <w:p w14:paraId="3CAF6CBF">
            <w:pPr>
              <w:wordWrap w:val="0"/>
              <w:rPr>
                <w:rFonts w:hint="default" w:ascii="Times New Roman" w:hAnsi="Times New Roman" w:eastAsia="楷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异常</w:t>
            </w:r>
          </w:p>
        </w:tc>
        <w:tc>
          <w:tcPr>
            <w:tcW w:w="2265" w:type="dxa"/>
            <w:vAlign w:val="center"/>
          </w:tcPr>
          <w:p w14:paraId="4358E8EA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&lt; 200（mg/dL）</w:t>
            </w:r>
          </w:p>
          <w:p w14:paraId="3C266524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200–239（mg/dL）</w:t>
            </w:r>
          </w:p>
          <w:p w14:paraId="2383F57F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≥ 240（mg/dL）</w:t>
            </w:r>
          </w:p>
        </w:tc>
        <w:tc>
          <w:tcPr>
            <w:tcW w:w="2955" w:type="dxa"/>
            <w:vAlign w:val="center"/>
          </w:tcPr>
          <w:p w14:paraId="52E567AE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血脂水平在可接受范围内。</w:t>
            </w:r>
          </w:p>
          <w:p w14:paraId="6C99ED83">
            <w:pPr>
              <w:wordWrap w:val="0"/>
              <w:rPr>
                <w:rFonts w:hint="eastAsia" w:ascii="Times New Roman" w:hAnsi="Times New Roman" w:eastAsia="楷体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血脂略高</w:t>
            </w:r>
            <w:r>
              <w:rPr>
                <w:rFonts w:hint="eastAsia" w:ascii="Times New Roman" w:hAnsi="Times New Roman" w:eastAsia="楷体"/>
                <w:sz w:val="24"/>
                <w:lang w:eastAsia="zh-CN"/>
              </w:rPr>
              <w:t>，建议减少高脂饮食并关注后续趋势。</w:t>
            </w:r>
          </w:p>
          <w:p w14:paraId="6D5A8CB1">
            <w:pPr>
              <w:wordWrap w:val="0"/>
              <w:rPr>
                <w:rFonts w:hint="eastAsia" w:ascii="Times New Roman" w:hAnsi="Times New Roman" w:eastAsia="楷体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eastAsia="zh-CN"/>
              </w:rPr>
              <w:t>血脂偏高，心血管压力增大，建议进一步评估。</w:t>
            </w:r>
          </w:p>
        </w:tc>
      </w:tr>
      <w:tr w14:paraId="784AC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32" w:type="dxa"/>
            <w:vAlign w:val="center"/>
          </w:tcPr>
          <w:p w14:paraId="2D97E92C">
            <w:pPr>
              <w:wordWrap w:val="0"/>
              <w:rPr>
                <w:rFonts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低密度脂蛋白胆固醇（LDL-C）</w:t>
            </w:r>
          </w:p>
        </w:tc>
        <w:tc>
          <w:tcPr>
            <w:tcW w:w="1404" w:type="dxa"/>
            <w:vAlign w:val="center"/>
          </w:tcPr>
          <w:p w14:paraId="4FEA8476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正常</w:t>
            </w:r>
          </w:p>
          <w:p w14:paraId="7D95322D">
            <w:pPr>
              <w:wordWrap w:val="0"/>
              <w:rPr>
                <w:rFonts w:hint="eastAsia" w:ascii="Times New Roman" w:hAnsi="Times New Roman" w:eastAsia="楷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预警</w:t>
            </w:r>
          </w:p>
          <w:p w14:paraId="303C94DC">
            <w:pPr>
              <w:wordWrap w:val="0"/>
              <w:rPr>
                <w:rFonts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异常</w:t>
            </w:r>
          </w:p>
        </w:tc>
        <w:tc>
          <w:tcPr>
            <w:tcW w:w="2265" w:type="dxa"/>
            <w:vAlign w:val="center"/>
          </w:tcPr>
          <w:p w14:paraId="50D990C0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&lt; 100（mg/dL）</w:t>
            </w:r>
          </w:p>
          <w:p w14:paraId="04DC531B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100–159（mg/dL）</w:t>
            </w:r>
          </w:p>
          <w:p w14:paraId="0C1D01CC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≥ 160（mg/dL）</w:t>
            </w:r>
          </w:p>
        </w:tc>
        <w:tc>
          <w:tcPr>
            <w:tcW w:w="2955" w:type="dxa"/>
            <w:vAlign w:val="center"/>
          </w:tcPr>
          <w:p w14:paraId="002FAE85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处于良好水平。</w:t>
            </w:r>
          </w:p>
          <w:p w14:paraId="76AC9C60">
            <w:pPr>
              <w:wordWrap w:val="0"/>
              <w:rPr>
                <w:rFonts w:hint="eastAsia" w:ascii="Times New Roman" w:hAnsi="Times New Roman" w:eastAsia="楷体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有升高趋势</w:t>
            </w:r>
            <w:r>
              <w:rPr>
                <w:rFonts w:hint="eastAsia" w:ascii="Times New Roman" w:hAnsi="Times New Roman" w:eastAsia="楷体"/>
                <w:sz w:val="24"/>
                <w:lang w:eastAsia="zh-CN"/>
              </w:rPr>
              <w:t>，建议调整饮食与生活方式。</w:t>
            </w:r>
          </w:p>
          <w:p w14:paraId="1463483D">
            <w:pPr>
              <w:wordWrap w:val="0"/>
              <w:rPr>
                <w:rFonts w:hint="eastAsia" w:ascii="Times New Roman" w:hAnsi="Times New Roman" w:eastAsia="楷体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eastAsia="zh-CN"/>
              </w:rPr>
              <w:t>偏高，动脉硬化风险增加，需重点关注。</w:t>
            </w:r>
          </w:p>
        </w:tc>
      </w:tr>
      <w:tr w14:paraId="0CD5F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32" w:type="dxa"/>
            <w:vAlign w:val="center"/>
          </w:tcPr>
          <w:p w14:paraId="79431150">
            <w:pPr>
              <w:wordWrap w:val="0"/>
              <w:rPr>
                <w:rFonts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高密度脂蛋白胆固醇（HDL-C）</w:t>
            </w:r>
          </w:p>
        </w:tc>
        <w:tc>
          <w:tcPr>
            <w:tcW w:w="1404" w:type="dxa"/>
            <w:vAlign w:val="center"/>
          </w:tcPr>
          <w:p w14:paraId="44E6204F">
            <w:pPr>
              <w:wordWrap w:val="0"/>
              <w:rPr>
                <w:rFonts w:hint="eastAsia" w:ascii="Times New Roman" w:hAnsi="Times New Roman" w:eastAsia="楷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异常（偏低）</w:t>
            </w:r>
          </w:p>
          <w:p w14:paraId="1DC79EA3">
            <w:pPr>
              <w:wordWrap w:val="0"/>
              <w:rPr>
                <w:rFonts w:hint="default" w:ascii="Times New Roman" w:hAnsi="Times New Roman" w:eastAsia="楷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正常</w:t>
            </w:r>
          </w:p>
        </w:tc>
        <w:tc>
          <w:tcPr>
            <w:tcW w:w="2265" w:type="dxa"/>
            <w:vAlign w:val="center"/>
          </w:tcPr>
          <w:p w14:paraId="59AB8238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男 &lt; 40、女 &lt; 50</w:t>
            </w:r>
          </w:p>
          <w:p w14:paraId="622324ED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男 ≥ 40、女 ≥ 50</w:t>
            </w:r>
          </w:p>
        </w:tc>
        <w:tc>
          <w:tcPr>
            <w:tcW w:w="2955" w:type="dxa"/>
            <w:vAlign w:val="center"/>
          </w:tcPr>
          <w:p w14:paraId="720591F0">
            <w:pPr>
              <w:wordWrap w:val="0"/>
              <w:rPr>
                <w:rFonts w:hint="eastAsia" w:ascii="Times New Roman" w:hAnsi="Times New Roman" w:eastAsia="楷体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偏低</w:t>
            </w:r>
            <w:r>
              <w:rPr>
                <w:rFonts w:hint="eastAsia" w:ascii="Times New Roman" w:hAnsi="Times New Roman" w:eastAsia="楷体"/>
                <w:sz w:val="24"/>
                <w:lang w:eastAsia="zh-CN"/>
              </w:rPr>
              <w:t>，对心血管的保护作用不足。</w:t>
            </w:r>
          </w:p>
          <w:p w14:paraId="0D91B232">
            <w:pPr>
              <w:wordWrap w:val="0"/>
              <w:rPr>
                <w:rFonts w:hint="eastAsia" w:ascii="Times New Roman" w:hAnsi="Times New Roman" w:eastAsia="楷体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eastAsia="zh-CN"/>
              </w:rPr>
              <w:t>达到保护范围，血管清除能力良好。</w:t>
            </w:r>
          </w:p>
        </w:tc>
      </w:tr>
      <w:tr w14:paraId="56719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32" w:type="dxa"/>
            <w:vAlign w:val="center"/>
          </w:tcPr>
          <w:p w14:paraId="1DFC9D88">
            <w:pPr>
              <w:wordWrap w:val="0"/>
              <w:rPr>
                <w:rFonts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甘油三酯（TG）</w:t>
            </w:r>
          </w:p>
        </w:tc>
        <w:tc>
          <w:tcPr>
            <w:tcW w:w="1404" w:type="dxa"/>
            <w:vAlign w:val="center"/>
          </w:tcPr>
          <w:p w14:paraId="14E8C76D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正常</w:t>
            </w:r>
          </w:p>
          <w:p w14:paraId="4FD2F856">
            <w:pPr>
              <w:wordWrap w:val="0"/>
              <w:rPr>
                <w:rFonts w:hint="eastAsia" w:ascii="Times New Roman" w:hAnsi="Times New Roman" w:eastAsia="楷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预警</w:t>
            </w:r>
          </w:p>
          <w:p w14:paraId="48139660">
            <w:pPr>
              <w:wordWrap w:val="0"/>
              <w:rPr>
                <w:rFonts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异常</w:t>
            </w:r>
          </w:p>
        </w:tc>
        <w:tc>
          <w:tcPr>
            <w:tcW w:w="2265" w:type="dxa"/>
            <w:vAlign w:val="center"/>
          </w:tcPr>
          <w:p w14:paraId="243327FC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&lt; 150（mg/dL）</w:t>
            </w:r>
          </w:p>
          <w:p w14:paraId="789756BE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150–199（mg/dL）</w:t>
            </w:r>
          </w:p>
          <w:p w14:paraId="663C7270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≥ 200（mg/dL）</w:t>
            </w:r>
          </w:p>
        </w:tc>
        <w:tc>
          <w:tcPr>
            <w:tcW w:w="2955" w:type="dxa"/>
            <w:vAlign w:val="center"/>
          </w:tcPr>
          <w:p w14:paraId="1B020280">
            <w:pPr>
              <w:wordWrap w:val="0"/>
              <w:rPr>
                <w:rFonts w:hint="eastAsia" w:ascii="Times New Roman" w:hAnsi="Times New Roman" w:eastAsia="楷体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脂肪代谢稳定</w:t>
            </w:r>
            <w:r>
              <w:rPr>
                <w:rFonts w:hint="eastAsia" w:ascii="Times New Roman" w:hAnsi="Times New Roman" w:eastAsia="楷体"/>
                <w:sz w:val="24"/>
                <w:lang w:eastAsia="zh-CN"/>
              </w:rPr>
              <w:t>。</w:t>
            </w:r>
          </w:p>
          <w:p w14:paraId="36616CCC">
            <w:pPr>
              <w:wordWrap w:val="0"/>
              <w:rPr>
                <w:rFonts w:hint="eastAsia" w:ascii="Times New Roman" w:hAnsi="Times New Roman" w:eastAsia="楷体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偏高</w:t>
            </w:r>
            <w:r>
              <w:rPr>
                <w:rFonts w:hint="eastAsia" w:ascii="Times New Roman" w:hAnsi="Times New Roman" w:eastAsia="楷体"/>
                <w:sz w:val="24"/>
                <w:lang w:eastAsia="zh-CN"/>
              </w:rPr>
              <w:t>，可能与饮食或代谢压力有关，建议改善饮食结构。</w:t>
            </w:r>
          </w:p>
          <w:p w14:paraId="50DAD9FF">
            <w:pPr>
              <w:wordWrap w:val="0"/>
              <w:rPr>
                <w:rFonts w:hint="eastAsia" w:ascii="Times New Roman" w:hAnsi="Times New Roman" w:eastAsia="楷体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eastAsia="zh-CN"/>
              </w:rPr>
              <w:t>明显升高，代谢负担较大，建议进一步检查。</w:t>
            </w:r>
          </w:p>
        </w:tc>
      </w:tr>
      <w:tr w14:paraId="6CD59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32" w:type="dxa"/>
            <w:vAlign w:val="center"/>
          </w:tcPr>
          <w:p w14:paraId="50D05556">
            <w:pPr>
              <w:wordWrap w:val="0"/>
              <w:rPr>
                <w:rFonts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 xml:space="preserve">空腹血糖（FPG） </w:t>
            </w:r>
          </w:p>
        </w:tc>
        <w:tc>
          <w:tcPr>
            <w:tcW w:w="1404" w:type="dxa"/>
            <w:vAlign w:val="center"/>
          </w:tcPr>
          <w:p w14:paraId="1FFD91E4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正常</w:t>
            </w:r>
          </w:p>
          <w:p w14:paraId="4EF6EE8B">
            <w:pPr>
              <w:wordWrap w:val="0"/>
              <w:rPr>
                <w:rFonts w:hint="eastAsia" w:ascii="Times New Roman" w:hAnsi="Times New Roman" w:eastAsia="楷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预警</w:t>
            </w:r>
          </w:p>
          <w:p w14:paraId="158D5078">
            <w:pPr>
              <w:wordWrap w:val="0"/>
              <w:rPr>
                <w:rFonts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异常</w:t>
            </w:r>
          </w:p>
        </w:tc>
        <w:tc>
          <w:tcPr>
            <w:tcW w:w="2265" w:type="dxa"/>
            <w:vAlign w:val="center"/>
          </w:tcPr>
          <w:p w14:paraId="7EE57BF3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&lt; 100（mg/dL）</w:t>
            </w:r>
          </w:p>
          <w:p w14:paraId="66F13609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100–125（mg/dL）</w:t>
            </w:r>
          </w:p>
          <w:p w14:paraId="12F1CF9F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≥ 126（mg/dL）</w:t>
            </w:r>
          </w:p>
        </w:tc>
        <w:tc>
          <w:tcPr>
            <w:tcW w:w="2955" w:type="dxa"/>
            <w:vAlign w:val="center"/>
          </w:tcPr>
          <w:p w14:paraId="0041EB97">
            <w:pPr>
              <w:wordWrap w:val="0"/>
              <w:rPr>
                <w:rFonts w:hint="eastAsia" w:ascii="Times New Roman" w:hAnsi="Times New Roman" w:eastAsia="楷体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血糖调节良好</w:t>
            </w:r>
            <w:r>
              <w:rPr>
                <w:rFonts w:hint="eastAsia" w:ascii="Times New Roman" w:hAnsi="Times New Roman" w:eastAsia="楷体"/>
                <w:sz w:val="24"/>
                <w:lang w:eastAsia="zh-CN"/>
              </w:rPr>
              <w:t>。</w:t>
            </w:r>
          </w:p>
          <w:p w14:paraId="670B949D">
            <w:pPr>
              <w:wordWrap w:val="0"/>
              <w:rPr>
                <w:rFonts w:hint="eastAsia" w:ascii="Times New Roman" w:hAnsi="Times New Roman" w:eastAsia="楷体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eastAsia="zh-CN"/>
              </w:rPr>
              <w:t>血糖偏高，代谢调节有压力。</w:t>
            </w:r>
          </w:p>
          <w:p w14:paraId="076064F6">
            <w:pPr>
              <w:wordWrap w:val="0"/>
              <w:rPr>
                <w:rFonts w:hint="eastAsia" w:ascii="Times New Roman" w:hAnsi="Times New Roman" w:eastAsia="楷体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eastAsia="zh-CN"/>
              </w:rPr>
              <w:t>血糖显著升高，建议进一步筛查。</w:t>
            </w:r>
          </w:p>
        </w:tc>
      </w:tr>
      <w:tr w14:paraId="4F213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32" w:type="dxa"/>
            <w:vAlign w:val="center"/>
          </w:tcPr>
          <w:p w14:paraId="17E1F155">
            <w:pPr>
              <w:wordWrap w:val="0"/>
              <w:rPr>
                <w:rFonts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随机血糖（RPG）</w:t>
            </w:r>
          </w:p>
        </w:tc>
        <w:tc>
          <w:tcPr>
            <w:tcW w:w="1404" w:type="dxa"/>
            <w:vAlign w:val="center"/>
          </w:tcPr>
          <w:p w14:paraId="657D5BF6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正常</w:t>
            </w:r>
          </w:p>
          <w:p w14:paraId="6286CCD8">
            <w:pPr>
              <w:wordWrap w:val="0"/>
              <w:rPr>
                <w:rFonts w:hint="eastAsia" w:ascii="Times New Roman" w:hAnsi="Times New Roman" w:eastAsia="楷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预警</w:t>
            </w:r>
          </w:p>
          <w:p w14:paraId="3242359D">
            <w:pPr>
              <w:wordWrap w:val="0"/>
              <w:rPr>
                <w:rFonts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异常</w:t>
            </w:r>
          </w:p>
        </w:tc>
        <w:tc>
          <w:tcPr>
            <w:tcW w:w="2265" w:type="dxa"/>
            <w:vAlign w:val="center"/>
          </w:tcPr>
          <w:p w14:paraId="6E5924CA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&lt; 140（mg/dL）</w:t>
            </w:r>
          </w:p>
          <w:p w14:paraId="7FEB7929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140–199（mg/dL）</w:t>
            </w:r>
          </w:p>
          <w:p w14:paraId="49AF524F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≥ 200（mg/dL）</w:t>
            </w:r>
          </w:p>
        </w:tc>
        <w:tc>
          <w:tcPr>
            <w:tcW w:w="2955" w:type="dxa"/>
            <w:vAlign w:val="center"/>
          </w:tcPr>
          <w:p w14:paraId="77BD03E6">
            <w:pPr>
              <w:wordWrap w:val="0"/>
              <w:rPr>
                <w:rFonts w:hint="eastAsia" w:ascii="Times New Roman" w:hAnsi="Times New Roman" w:eastAsia="楷体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当下血糖负荷正常</w:t>
            </w:r>
            <w:r>
              <w:rPr>
                <w:rFonts w:hint="eastAsia" w:ascii="Times New Roman" w:hAnsi="Times New Roman" w:eastAsia="楷体"/>
                <w:sz w:val="24"/>
                <w:lang w:eastAsia="zh-CN"/>
              </w:rPr>
              <w:t>。</w:t>
            </w:r>
          </w:p>
          <w:p w14:paraId="09CEA62F">
            <w:pPr>
              <w:wordWrap w:val="0"/>
              <w:rPr>
                <w:rFonts w:hint="eastAsia" w:ascii="Times New Roman" w:hAnsi="Times New Roman" w:eastAsia="楷体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eastAsia="zh-CN"/>
              </w:rPr>
              <w:t>当下血糖偏高，可能存在进食后调节不足。</w:t>
            </w:r>
          </w:p>
          <w:p w14:paraId="33112CB9">
            <w:pPr>
              <w:wordWrap w:val="0"/>
              <w:rPr>
                <w:rFonts w:hint="eastAsia" w:ascii="Times New Roman" w:hAnsi="Times New Roman" w:eastAsia="楷体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eastAsia="zh-CN"/>
              </w:rPr>
              <w:t>血糖明显升高，建议进一步评估糖代谢。</w:t>
            </w:r>
          </w:p>
        </w:tc>
      </w:tr>
    </w:tbl>
    <w:p w14:paraId="2EE32AE4">
      <w:pPr>
        <w:wordWrap w:val="0"/>
        <w:rPr>
          <w:rFonts w:ascii="Times New Roman" w:hAnsi="Times New Roman" w:eastAsia="楷体"/>
          <w:sz w:val="24"/>
        </w:rPr>
      </w:pPr>
    </w:p>
    <w:p w14:paraId="141514CC">
      <w:pPr>
        <w:numPr>
          <w:ilvl w:val="0"/>
          <w:numId w:val="2"/>
        </w:numPr>
        <w:wordWrap w:val="0"/>
        <w:rPr>
          <w:rFonts w:hint="eastAsia" w:ascii="Times New Roman" w:hAnsi="Times New Roman" w:eastAsia="楷体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楷体"/>
          <w:b/>
          <w:bCs/>
          <w:sz w:val="24"/>
          <w:lang w:val="en-US" w:eastAsia="zh-CN"/>
        </w:rPr>
        <w:t>关联模型：血糖负荷估算</w:t>
      </w:r>
    </w:p>
    <w:p w14:paraId="7B0C28C6">
      <w:pPr>
        <w:numPr>
          <w:ilvl w:val="0"/>
          <w:numId w:val="0"/>
        </w:numPr>
        <w:wordWrap w:val="0"/>
        <w:rPr>
          <w:rFonts w:hint="eastAsia" w:ascii="Times New Roman" w:hAnsi="Times New Roman" w:eastAsia="楷体"/>
          <w:b/>
          <w:bCs/>
          <w:sz w:val="24"/>
          <w:lang w:val="en-US" w:eastAsia="zh-CN"/>
        </w:rPr>
      </w:pPr>
    </w:p>
    <w:p w14:paraId="0CB02492">
      <w:pPr>
        <w:numPr>
          <w:ilvl w:val="0"/>
          <w:numId w:val="2"/>
        </w:numPr>
        <w:wordWrap w:val="0"/>
        <w:rPr>
          <w:rFonts w:hint="eastAsia" w:ascii="Times New Roman" w:hAnsi="Times New Roman" w:eastAsia="楷体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楷体"/>
          <w:b/>
          <w:bCs/>
          <w:sz w:val="24"/>
          <w:lang w:val="en-US" w:eastAsia="zh-CN"/>
        </w:rPr>
        <w:t>代谢基础检测波动应对方案</w:t>
      </w:r>
    </w:p>
    <w:p w14:paraId="25441F91">
      <w:pPr>
        <w:numPr>
          <w:ilvl w:val="0"/>
          <w:numId w:val="0"/>
        </w:numPr>
        <w:wordWrap w:val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·触发条件（必须满足之一），只要出现以下任一情况，即触发该方案（仅推送一个方案）：</w:t>
      </w:r>
    </w:p>
    <w:p w14:paraId="2AC6EB42">
      <w:pPr>
        <w:numPr>
          <w:ilvl w:val="0"/>
          <w:numId w:val="3"/>
        </w:numPr>
        <w:wordWrap w:val="0"/>
        <w:ind w:left="0" w:leftChars="0" w:firstLine="400" w:firstLineChars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总胆固醇 TC = 200–239 mg/dL</w:t>
      </w:r>
    </w:p>
    <w:p w14:paraId="4139448E">
      <w:pPr>
        <w:numPr>
          <w:ilvl w:val="0"/>
          <w:numId w:val="3"/>
        </w:numPr>
        <w:wordWrap w:val="0"/>
        <w:ind w:left="0" w:leftChars="0" w:firstLine="400" w:firstLineChars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LDL-C = 100–159 mg/dL</w:t>
      </w:r>
    </w:p>
    <w:p w14:paraId="33A25B73">
      <w:pPr>
        <w:numPr>
          <w:ilvl w:val="0"/>
          <w:numId w:val="3"/>
        </w:numPr>
        <w:wordWrap w:val="0"/>
        <w:ind w:left="0" w:leftChars="0" w:firstLine="400" w:firstLineChars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HDL-C 偏低：男 &lt; 40 mg/dL；女 &lt; 50 mg/dL</w:t>
      </w:r>
    </w:p>
    <w:p w14:paraId="0C8CD5B3">
      <w:pPr>
        <w:numPr>
          <w:ilvl w:val="0"/>
          <w:numId w:val="3"/>
        </w:numPr>
        <w:wordWrap w:val="0"/>
        <w:ind w:left="0" w:leftChars="0" w:firstLine="400" w:firstLineChars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甘油三酯 TG = 150–199 mg/dL</w:t>
      </w:r>
    </w:p>
    <w:p w14:paraId="1AE833E3">
      <w:pPr>
        <w:numPr>
          <w:ilvl w:val="0"/>
          <w:numId w:val="3"/>
        </w:numPr>
        <w:wordWrap w:val="0"/>
        <w:ind w:left="0" w:leftChars="0" w:firstLine="400" w:firstLineChars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空腹血糖 FPG = 100–125 mg/dL（轻度偏高）</w:t>
      </w:r>
    </w:p>
    <w:p w14:paraId="5D03D07C">
      <w:pPr>
        <w:numPr>
          <w:ilvl w:val="0"/>
          <w:numId w:val="3"/>
        </w:numPr>
        <w:wordWrap w:val="0"/>
        <w:ind w:left="0" w:leftChars="0" w:firstLine="400" w:firstLineChars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随机血糖 RPG = 140–199 mg/dL（轻度偏高）</w:t>
      </w:r>
    </w:p>
    <w:p w14:paraId="0733888A">
      <w:pPr>
        <w:numPr>
          <w:ilvl w:val="0"/>
          <w:numId w:val="0"/>
        </w:numPr>
        <w:wordWrap w:val="0"/>
        <w:ind w:left="400" w:leftChars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说明：当前属于代谢负担刚开始上升的早期阶段。</w:t>
      </w:r>
    </w:p>
    <w:p w14:paraId="38471D0C">
      <w:pPr>
        <w:numPr>
          <w:ilvl w:val="0"/>
          <w:numId w:val="0"/>
        </w:numPr>
        <w:wordWrap w:val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</w:p>
    <w:p w14:paraId="46D03285">
      <w:pPr>
        <w:numPr>
          <w:ilvl w:val="0"/>
          <w:numId w:val="0"/>
        </w:numPr>
        <w:wordWrap w:val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·具体方案：</w:t>
      </w:r>
    </w:p>
    <w:p w14:paraId="2A417B0C">
      <w:pPr>
        <w:numPr>
          <w:ilvl w:val="0"/>
          <w:numId w:val="0"/>
        </w:numPr>
        <w:wordWrap w:val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</w:p>
    <w:p w14:paraId="13708C97">
      <w:pPr>
        <w:numPr>
          <w:ilvl w:val="0"/>
          <w:numId w:val="0"/>
        </w:numPr>
        <w:wordWrap w:val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（1）</w:t>
      </w: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营养补充建议</w:t>
      </w:r>
    </w:p>
    <w:p w14:paraId="0A8540F7">
      <w:pPr>
        <w:numPr>
          <w:ilvl w:val="0"/>
          <w:numId w:val="4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高抗氧化营养素组合（维生素C／维生素E／植物多酚）：辅助改善脂质氧化压力与代谢波动。</w:t>
      </w:r>
    </w:p>
    <w:p w14:paraId="53AA4EA2">
      <w:pPr>
        <w:numPr>
          <w:ilvl w:val="0"/>
          <w:numId w:val="4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Omega-3（EPA+DHA ）：有助于改善 TG、轻度炎症与代谢负荷。</w:t>
      </w:r>
    </w:p>
    <w:p w14:paraId="0613C4C1">
      <w:pPr>
        <w:numPr>
          <w:ilvl w:val="0"/>
          <w:numId w:val="4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镁（甘氨酸镁或柠檬酸镁）：支持胰岛素敏感性，改善轻度血糖偏高。</w:t>
      </w:r>
    </w:p>
    <w:p w14:paraId="2ACF8AD6">
      <w:pPr>
        <w:numPr>
          <w:ilvl w:val="0"/>
          <w:numId w:val="0"/>
        </w:numPr>
        <w:wordWrap w:val="0"/>
        <w:ind w:left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</w:p>
    <w:p w14:paraId="3D3BA055">
      <w:pPr>
        <w:numPr>
          <w:ilvl w:val="0"/>
          <w:numId w:val="0"/>
        </w:numPr>
        <w:wordWrap w:val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（2）饮食建议</w:t>
      </w:r>
    </w:p>
    <w:p w14:paraId="75EFC104">
      <w:pPr>
        <w:numPr>
          <w:ilvl w:val="0"/>
          <w:numId w:val="5"/>
        </w:numPr>
        <w:wordWrap w:val="0"/>
        <w:ind w:left="0" w:leftChars="0" w:firstLine="0" w:firstLineChars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每餐增加 1 份蔬菜（约拳头大小）：提升纤维，降低餐后血糖与脂质波动。</w:t>
      </w:r>
    </w:p>
    <w:p w14:paraId="1F7C8513">
      <w:pPr>
        <w:numPr>
          <w:ilvl w:val="0"/>
          <w:numId w:val="5"/>
        </w:numPr>
        <w:wordWrap w:val="0"/>
        <w:ind w:left="0" w:leftChars="0" w:firstLine="0" w:firstLineChars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主食替换 1/3 为全谷物（燕麦、糙米、荞麦）：改善血糖和脂质代谢。</w:t>
      </w:r>
    </w:p>
    <w:p w14:paraId="0E9CE8C7">
      <w:pPr>
        <w:numPr>
          <w:ilvl w:val="0"/>
          <w:numId w:val="5"/>
        </w:numPr>
        <w:wordWrap w:val="0"/>
        <w:ind w:left="0" w:leftChars="0" w:firstLine="0" w:firstLineChars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减少高糖饮料、奶茶、甜点（每周 ≤1 次）：直接减少血糖与甘油三酯的上升。</w:t>
      </w:r>
    </w:p>
    <w:p w14:paraId="14E7FC9F">
      <w:pPr>
        <w:numPr>
          <w:ilvl w:val="0"/>
          <w:numId w:val="5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红肉替换 2–3 餐为鱼类或豆类蛋白：同时降低 LDL 和 TG。</w:t>
      </w:r>
    </w:p>
    <w:p w14:paraId="757B4DDF">
      <w:pPr>
        <w:numPr>
          <w:ilvl w:val="0"/>
          <w:numId w:val="0"/>
        </w:numPr>
        <w:wordWrap w:val="0"/>
        <w:ind w:left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</w:p>
    <w:p w14:paraId="400A5E88">
      <w:pPr>
        <w:numPr>
          <w:ilvl w:val="0"/>
          <w:numId w:val="0"/>
        </w:numPr>
        <w:wordWrap w:val="0"/>
        <w:ind w:left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（3）</w:t>
      </w: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生活方式建议</w:t>
      </w:r>
    </w:p>
    <w:p w14:paraId="16968D80">
      <w:pPr>
        <w:numPr>
          <w:ilvl w:val="0"/>
          <w:numId w:val="6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每天累计 20–30 分钟中等强度步行：有效降低血糖与甘油三酯。</w:t>
      </w:r>
    </w:p>
    <w:p w14:paraId="2928EB26">
      <w:pPr>
        <w:numPr>
          <w:ilvl w:val="0"/>
          <w:numId w:val="6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餐后 10–15 分钟轻活动：减少餐后血糖峰值。</w:t>
      </w:r>
    </w:p>
    <w:p w14:paraId="01672E64">
      <w:pPr>
        <w:numPr>
          <w:ilvl w:val="0"/>
          <w:numId w:val="6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睡眠保持 7 小时以上：睡眠不足会明显提高 TG 和 FPG。</w:t>
      </w:r>
    </w:p>
    <w:p w14:paraId="5A0BBE87">
      <w:pPr>
        <w:numPr>
          <w:ilvl w:val="0"/>
          <w:numId w:val="6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减少久坐：每 60 分钟站起活动 1–2 分钟：改善胰岛素敏感性。</w:t>
      </w:r>
    </w:p>
    <w:p w14:paraId="7FB9F47A">
      <w:pPr>
        <w:numPr>
          <w:ilvl w:val="0"/>
          <w:numId w:val="0"/>
        </w:numPr>
        <w:wordWrap w:val="0"/>
        <w:ind w:left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</w:p>
    <w:p w14:paraId="15E18F25">
      <w:pPr>
        <w:numPr>
          <w:ilvl w:val="0"/>
          <w:numId w:val="0"/>
        </w:numPr>
        <w:wordWrap w:val="0"/>
        <w:ind w:left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（4）</w:t>
      </w: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定期监测建议</w:t>
      </w:r>
    </w:p>
    <w:p w14:paraId="4864B089">
      <w:pPr>
        <w:numPr>
          <w:ilvl w:val="0"/>
          <w:numId w:val="7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每 2 周复测一次血糖（FPG/RPG 任选其一）：观察是否回到正常区。</w:t>
      </w:r>
    </w:p>
    <w:p w14:paraId="4FA157A4">
      <w:pPr>
        <w:numPr>
          <w:ilvl w:val="0"/>
          <w:numId w:val="7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每 4–6 周复测血脂（TC/LDL/HDL/TG）：用于评估干预有效性。</w:t>
      </w:r>
    </w:p>
    <w:p w14:paraId="31C3C0C9">
      <w:pPr>
        <w:numPr>
          <w:ilvl w:val="0"/>
          <w:numId w:val="7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如连续两次仍在预警区间 → 建议升级到“代谢与心血管负荷评估”。</w:t>
      </w:r>
    </w:p>
    <w:p w14:paraId="067C2901">
      <w:pPr>
        <w:numPr>
          <w:ilvl w:val="0"/>
          <w:numId w:val="7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如任一指标进入异常值 → 建议进一步医学检查。</w:t>
      </w:r>
    </w:p>
    <w:p w14:paraId="78F4B854">
      <w:pPr>
        <w:numPr>
          <w:ilvl w:val="0"/>
          <w:numId w:val="0"/>
        </w:numPr>
        <w:wordWrap w:val="0"/>
        <w:rPr>
          <w:rFonts w:hint="default" w:ascii="Times New Roman" w:hAnsi="Times New Roman" w:eastAsia="楷体"/>
          <w:b/>
          <w:bCs/>
          <w:sz w:val="24"/>
          <w:lang w:val="en-US" w:eastAsia="zh-CN"/>
        </w:rPr>
      </w:pPr>
    </w:p>
    <w:p w14:paraId="4ABC0A50">
      <w:pPr>
        <w:numPr>
          <w:ilvl w:val="0"/>
          <w:numId w:val="0"/>
        </w:numPr>
        <w:wordWrap w:val="0"/>
        <w:rPr>
          <w:rFonts w:hint="eastAsia" w:ascii="Times New Roman" w:hAnsi="Times New Roman" w:eastAsia="楷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theme="minorBidi"/>
          <w:b/>
          <w:bCs/>
          <w:kern w:val="2"/>
          <w:sz w:val="28"/>
          <w:szCs w:val="28"/>
          <w:lang w:val="en-US" w:eastAsia="zh-CN" w:bidi="ar-SA"/>
        </w:rPr>
        <w:t>二、血压</w:t>
      </w:r>
      <w:r>
        <w:rPr>
          <w:rFonts w:hint="eastAsia" w:ascii="Times New Roman" w:hAnsi="Times New Roman" w:eastAsia="楷体"/>
          <w:b/>
          <w:bCs/>
          <w:sz w:val="28"/>
          <w:szCs w:val="28"/>
          <w:lang w:val="en-US" w:eastAsia="zh-CN"/>
        </w:rPr>
        <w:t>基础监测（一级身体功能与体能促进）</w:t>
      </w:r>
    </w:p>
    <w:p w14:paraId="1C27F966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586B8074">
      <w:pPr>
        <w:wordWrap w:val="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（1）收缩压（SBP）</w:t>
      </w:r>
    </w:p>
    <w:p w14:paraId="71C69E6A">
      <w:pPr>
        <w:wordWrap w:val="0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含义：</w:t>
      </w:r>
      <w:r>
        <w:rPr>
          <w:rFonts w:hint="eastAsia" w:ascii="Times New Roman" w:hAnsi="Times New Roman" w:eastAsia="楷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sz w:val="24"/>
        </w:rPr>
        <w:t>反映心脏收缩时的血管压力，偏高提示血管压力负荷增加，是高血压风险的核心表现。</w:t>
      </w:r>
    </w:p>
    <w:p w14:paraId="78C99973">
      <w:pPr>
        <w:numPr>
          <w:ilvl w:val="0"/>
          <w:numId w:val="8"/>
        </w:numPr>
        <w:wordWrap w:val="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舒张压（DBP）</w:t>
      </w:r>
    </w:p>
    <w:p w14:paraId="18721C2A">
      <w:pPr>
        <w:numPr>
          <w:ilvl w:val="0"/>
          <w:numId w:val="0"/>
        </w:numPr>
        <w:wordWrap w:val="0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含义：</w:t>
      </w:r>
      <w:r>
        <w:rPr>
          <w:rFonts w:hint="eastAsia" w:ascii="Times New Roman" w:hAnsi="Times New Roman" w:eastAsia="楷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sz w:val="24"/>
        </w:rPr>
        <w:t>是心脏放松时的血管压力，偏高代表血管弹性下降或循环阻力增大，也提示高血压风险。</w:t>
      </w:r>
    </w:p>
    <w:p w14:paraId="44BCFBB9">
      <w:pPr>
        <w:wordWrap w:val="0"/>
        <w:rPr>
          <w:rFonts w:hint="eastAsia" w:ascii="Times New Roman" w:hAnsi="Times New Roman" w:eastAsia="楷体"/>
          <w:sz w:val="24"/>
        </w:rPr>
      </w:pPr>
    </w:p>
    <w:p w14:paraId="1AFF3360">
      <w:pPr>
        <w:wordWrap w:val="0"/>
        <w:rPr>
          <w:rFonts w:hint="default" w:ascii="Times New Roman" w:hAnsi="Times New Roman" w:eastAsia="楷体"/>
          <w:sz w:val="24"/>
          <w:lang w:val="en-US" w:eastAsia="zh-CN"/>
        </w:rPr>
      </w:pPr>
      <w:r>
        <w:rPr>
          <w:rFonts w:hint="eastAsia" w:ascii="Times New Roman" w:hAnsi="Times New Roman" w:eastAsia="楷体"/>
          <w:b/>
          <w:bCs/>
          <w:sz w:val="24"/>
        </w:rPr>
        <w:t>2. 具体指标范围</w:t>
      </w:r>
    </w:p>
    <w:tbl>
      <w:tblPr>
        <w:tblStyle w:val="2"/>
        <w:tblW w:w="8715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6"/>
        <w:gridCol w:w="795"/>
        <w:gridCol w:w="2250"/>
        <w:gridCol w:w="3884"/>
      </w:tblGrid>
      <w:tr w14:paraId="7A73A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741" w:type="dxa"/>
            <w:vAlign w:val="center"/>
          </w:tcPr>
          <w:p w14:paraId="4DD1182A">
            <w:pPr>
              <w:wordWrap w:val="0"/>
              <w:rPr>
                <w:rFonts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指标</w:t>
            </w:r>
          </w:p>
        </w:tc>
        <w:tc>
          <w:tcPr>
            <w:tcW w:w="765" w:type="dxa"/>
            <w:vAlign w:val="center"/>
          </w:tcPr>
          <w:p w14:paraId="5A42BBF6">
            <w:pPr>
              <w:wordWrap w:val="0"/>
              <w:rPr>
                <w:rFonts w:hint="eastAsia" w:ascii="Times New Roman" w:hAnsi="Times New Roman" w:eastAsia="楷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结果</w:t>
            </w:r>
          </w:p>
        </w:tc>
        <w:tc>
          <w:tcPr>
            <w:tcW w:w="2220" w:type="dxa"/>
            <w:vAlign w:val="center"/>
          </w:tcPr>
          <w:p w14:paraId="2D12EB1A">
            <w:pPr>
              <w:wordWrap w:val="0"/>
              <w:rPr>
                <w:rFonts w:hint="eastAsia" w:ascii="Times New Roman" w:hAnsi="Times New Roman" w:eastAsia="楷体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参考值</w:t>
            </w:r>
          </w:p>
        </w:tc>
        <w:tc>
          <w:tcPr>
            <w:tcW w:w="3839" w:type="dxa"/>
            <w:vAlign w:val="center"/>
          </w:tcPr>
          <w:p w14:paraId="5D096485">
            <w:pPr>
              <w:wordWrap w:val="0"/>
              <w:rPr>
                <w:rFonts w:hint="eastAsia" w:ascii="Times New Roman" w:hAnsi="Times New Roman" w:eastAsia="楷体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提示</w:t>
            </w:r>
          </w:p>
        </w:tc>
      </w:tr>
      <w:tr w14:paraId="28982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41" w:type="dxa"/>
            <w:vAlign w:val="center"/>
          </w:tcPr>
          <w:p w14:paraId="45E76274">
            <w:pPr>
              <w:wordWrap w:val="0"/>
              <w:rPr>
                <w:rFonts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收缩压（SBP）</w:t>
            </w:r>
          </w:p>
        </w:tc>
        <w:tc>
          <w:tcPr>
            <w:tcW w:w="765" w:type="dxa"/>
            <w:vAlign w:val="center"/>
          </w:tcPr>
          <w:p w14:paraId="4C764636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正常</w:t>
            </w:r>
          </w:p>
          <w:p w14:paraId="46153301">
            <w:pPr>
              <w:wordWrap w:val="0"/>
              <w:rPr>
                <w:rFonts w:hint="eastAsia" w:ascii="Times New Roman" w:hAnsi="Times New Roman" w:eastAsia="楷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预警</w:t>
            </w:r>
          </w:p>
          <w:p w14:paraId="5BBA7425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异常</w:t>
            </w:r>
          </w:p>
        </w:tc>
        <w:tc>
          <w:tcPr>
            <w:tcW w:w="2220" w:type="dxa"/>
            <w:vAlign w:val="center"/>
          </w:tcPr>
          <w:p w14:paraId="7969D5ED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&lt; 120（mmHg）</w:t>
            </w:r>
          </w:p>
          <w:p w14:paraId="3B5EF3D9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120–129（mmHg）</w:t>
            </w:r>
          </w:p>
          <w:p w14:paraId="402E3344">
            <w:pPr>
              <w:wordWrap w:val="0"/>
              <w:rPr>
                <w:rFonts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≥ 130（mmHg）</w:t>
            </w:r>
          </w:p>
        </w:tc>
        <w:tc>
          <w:tcPr>
            <w:tcW w:w="3839" w:type="dxa"/>
            <w:vAlign w:val="center"/>
          </w:tcPr>
          <w:p w14:paraId="194817E4">
            <w:pPr>
              <w:wordWrap w:val="0"/>
              <w:rPr>
                <w:rFonts w:hint="eastAsia" w:ascii="Times New Roman" w:hAnsi="Times New Roman" w:eastAsia="楷体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血压良好</w:t>
            </w:r>
            <w:r>
              <w:rPr>
                <w:rFonts w:hint="eastAsia" w:ascii="Times New Roman" w:hAnsi="Times New Roman" w:eastAsia="楷体"/>
                <w:sz w:val="24"/>
                <w:lang w:eastAsia="zh-CN"/>
              </w:rPr>
              <w:t>。</w:t>
            </w:r>
          </w:p>
          <w:p w14:paraId="12E95199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收缩压略高，建议关注压力、盐分与作息。</w:t>
            </w:r>
          </w:p>
          <w:p w14:paraId="77C86A97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血压偏高，需关注过重压力、饮食盐分或体重变化。</w:t>
            </w:r>
          </w:p>
        </w:tc>
      </w:tr>
      <w:tr w14:paraId="3708F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41" w:type="dxa"/>
            <w:vAlign w:val="center"/>
          </w:tcPr>
          <w:p w14:paraId="09EDD1A2">
            <w:pPr>
              <w:wordWrap w:val="0"/>
              <w:rPr>
                <w:rFonts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 xml:space="preserve">舒张压（DBP） </w:t>
            </w:r>
          </w:p>
        </w:tc>
        <w:tc>
          <w:tcPr>
            <w:tcW w:w="765" w:type="dxa"/>
            <w:vAlign w:val="center"/>
          </w:tcPr>
          <w:p w14:paraId="2E35F8C8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正常</w:t>
            </w:r>
          </w:p>
          <w:p w14:paraId="31E41084">
            <w:pPr>
              <w:wordWrap w:val="0"/>
              <w:rPr>
                <w:rFonts w:hint="eastAsia" w:ascii="Times New Roman" w:hAnsi="Times New Roman" w:eastAsia="楷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预警</w:t>
            </w:r>
          </w:p>
          <w:p w14:paraId="04252CA7">
            <w:pPr>
              <w:wordWrap w:val="0"/>
              <w:rPr>
                <w:rFonts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异常</w:t>
            </w:r>
          </w:p>
        </w:tc>
        <w:tc>
          <w:tcPr>
            <w:tcW w:w="2220" w:type="dxa"/>
            <w:vAlign w:val="center"/>
          </w:tcPr>
          <w:p w14:paraId="05C96F20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&lt; 80（mmHg）</w:t>
            </w:r>
          </w:p>
          <w:p w14:paraId="659B817E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80–89（mmHg）</w:t>
            </w:r>
          </w:p>
          <w:p w14:paraId="0C0EC52E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≥ 90（mmHg）</w:t>
            </w:r>
          </w:p>
        </w:tc>
        <w:tc>
          <w:tcPr>
            <w:tcW w:w="3839" w:type="dxa"/>
            <w:vAlign w:val="center"/>
          </w:tcPr>
          <w:p w14:paraId="3AA341AA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血管状态良好。</w:t>
            </w:r>
          </w:p>
          <w:p w14:paraId="09AF2E5F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舒张压偏高，血管弹性或循环阻力增加。</w:t>
            </w:r>
          </w:p>
          <w:p w14:paraId="3C1A0871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舒张压升高，需关注血管健康与生活方式。</w:t>
            </w:r>
          </w:p>
        </w:tc>
      </w:tr>
    </w:tbl>
    <w:p w14:paraId="4E1B494E">
      <w:pPr>
        <w:wordWrap w:val="0"/>
        <w:rPr>
          <w:rFonts w:hint="default" w:ascii="Times New Roman" w:hAnsi="Times New Roman" w:eastAsia="楷体"/>
          <w:sz w:val="24"/>
          <w:lang w:val="en-US" w:eastAsia="zh-CN"/>
        </w:rPr>
      </w:pPr>
    </w:p>
    <w:p w14:paraId="6B526BDB">
      <w:pPr>
        <w:numPr>
          <w:ilvl w:val="0"/>
          <w:numId w:val="9"/>
        </w:numPr>
        <w:wordWrap w:val="0"/>
        <w:rPr>
          <w:rFonts w:hint="eastAsia" w:ascii="Times New Roman" w:hAnsi="Times New Roman" w:eastAsia="楷体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楷体"/>
          <w:b/>
          <w:bCs/>
          <w:sz w:val="24"/>
          <w:lang w:val="en-US" w:eastAsia="zh-CN"/>
        </w:rPr>
        <w:t>关联模型：高血压风险评分</w:t>
      </w:r>
    </w:p>
    <w:p w14:paraId="725B446E">
      <w:pPr>
        <w:numPr>
          <w:ilvl w:val="0"/>
          <w:numId w:val="0"/>
        </w:numPr>
        <w:wordWrap w:val="0"/>
        <w:rPr>
          <w:rFonts w:hint="eastAsia" w:ascii="Times New Roman" w:hAnsi="Times New Roman" w:eastAsia="楷体"/>
          <w:b/>
          <w:bCs/>
          <w:sz w:val="24"/>
          <w:lang w:val="en-US" w:eastAsia="zh-CN"/>
        </w:rPr>
      </w:pPr>
    </w:p>
    <w:p w14:paraId="688C2628">
      <w:pPr>
        <w:numPr>
          <w:ilvl w:val="0"/>
          <w:numId w:val="0"/>
        </w:numPr>
        <w:wordWrap w:val="0"/>
        <w:rPr>
          <w:rFonts w:hint="eastAsia" w:ascii="Times New Roman" w:hAnsi="Times New Roman" w:eastAsia="楷体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楷体"/>
          <w:b/>
          <w:bCs/>
          <w:sz w:val="24"/>
          <w:lang w:val="en-US" w:eastAsia="zh-CN"/>
        </w:rPr>
        <w:t>4. 血压基础检测波动应对方案</w:t>
      </w:r>
    </w:p>
    <w:p w14:paraId="1B107598">
      <w:pPr>
        <w:numPr>
          <w:ilvl w:val="0"/>
          <w:numId w:val="0"/>
        </w:numPr>
        <w:wordWrap w:val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·触发条件（满足任一即可推送该方案）</w:t>
      </w:r>
    </w:p>
    <w:p w14:paraId="12E3073D">
      <w:pPr>
        <w:numPr>
          <w:ilvl w:val="0"/>
          <w:numId w:val="10"/>
        </w:numPr>
        <w:wordWrap w:val="0"/>
        <w:ind w:left="0" w:leftChars="0" w:firstLine="400" w:firstLineChars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收缩压 SBP：120–129 mmHg（预警）</w:t>
      </w:r>
    </w:p>
    <w:p w14:paraId="51938882">
      <w:pPr>
        <w:numPr>
          <w:ilvl w:val="0"/>
          <w:numId w:val="10"/>
        </w:numPr>
        <w:wordWrap w:val="0"/>
        <w:ind w:left="0" w:leftChars="0" w:firstLine="400" w:firstLineChars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舒张压 DBP：80–89 mmHg（预警）</w:t>
      </w:r>
    </w:p>
    <w:p w14:paraId="6C572657">
      <w:pPr>
        <w:numPr>
          <w:ilvl w:val="0"/>
          <w:numId w:val="0"/>
        </w:numPr>
        <w:wordWrap w:val="0"/>
        <w:ind w:firstLine="480" w:firstLineChars="20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说明：代表血管弹性开始下降、交感兴奋度上升、盐敏感性变化。</w:t>
      </w:r>
    </w:p>
    <w:p w14:paraId="3502F41B">
      <w:pPr>
        <w:numPr>
          <w:ilvl w:val="0"/>
          <w:numId w:val="0"/>
        </w:numPr>
        <w:wordWrap w:val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</w:p>
    <w:p w14:paraId="1085594A">
      <w:pPr>
        <w:numPr>
          <w:ilvl w:val="0"/>
          <w:numId w:val="0"/>
        </w:numPr>
        <w:wordWrap w:val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·具体方案：</w:t>
      </w:r>
    </w:p>
    <w:p w14:paraId="7D529838">
      <w:pPr>
        <w:numPr>
          <w:ilvl w:val="0"/>
          <w:numId w:val="0"/>
        </w:numPr>
        <w:wordWrap w:val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</w:p>
    <w:p w14:paraId="558B9796">
      <w:pPr>
        <w:numPr>
          <w:ilvl w:val="0"/>
          <w:numId w:val="0"/>
        </w:numPr>
        <w:wordWrap w:val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（1）</w:t>
      </w: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营养补充建议</w:t>
      </w:r>
    </w:p>
    <w:p w14:paraId="2872977F">
      <w:pPr>
        <w:numPr>
          <w:ilvl w:val="0"/>
          <w:numId w:val="11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镁（甘氨酸镁）：帮助血管放松，调节血管张力。</w:t>
      </w:r>
    </w:p>
    <w:p w14:paraId="31B31BD9">
      <w:pPr>
        <w:numPr>
          <w:ilvl w:val="0"/>
          <w:numId w:val="11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Omega-3（EPA+DHA ）：改善血管弹性与轻度炎症。</w:t>
      </w:r>
    </w:p>
    <w:p w14:paraId="29B918E0">
      <w:pPr>
        <w:numPr>
          <w:ilvl w:val="0"/>
          <w:numId w:val="11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辅酶Q10：辅助改善血管舒张能力。</w:t>
      </w:r>
    </w:p>
    <w:p w14:paraId="1FF5664E">
      <w:pPr>
        <w:numPr>
          <w:ilvl w:val="0"/>
          <w:numId w:val="0"/>
        </w:numPr>
        <w:wordWrap w:val="0"/>
        <w:ind w:left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</w:p>
    <w:p w14:paraId="47F7A566">
      <w:pPr>
        <w:numPr>
          <w:ilvl w:val="0"/>
          <w:numId w:val="0"/>
        </w:numPr>
        <w:wordWrap w:val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（2）饮食建议</w:t>
      </w:r>
    </w:p>
    <w:p w14:paraId="275AA61E">
      <w:pPr>
        <w:numPr>
          <w:ilvl w:val="0"/>
          <w:numId w:val="12"/>
        </w:numPr>
        <w:wordWrap w:val="0"/>
        <w:ind w:left="0" w:leftChars="0" w:firstLine="0" w:firstLineChars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减少每日食盐摄入（控制在 5g/天以内）：直接降低血压波动。</w:t>
      </w:r>
    </w:p>
    <w:p w14:paraId="28A94651">
      <w:pPr>
        <w:numPr>
          <w:ilvl w:val="0"/>
          <w:numId w:val="12"/>
        </w:numPr>
        <w:wordWrap w:val="0"/>
        <w:ind w:left="0" w:leftChars="0" w:firstLine="0" w:firstLineChars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每日增加 1 份高钾蔬果（菠菜、芹菜、香蕉）：抵消钠负荷。</w:t>
      </w:r>
    </w:p>
    <w:p w14:paraId="626A62E9">
      <w:pPr>
        <w:numPr>
          <w:ilvl w:val="0"/>
          <w:numId w:val="12"/>
        </w:numPr>
        <w:wordWrap w:val="0"/>
        <w:ind w:left="0" w:leftChars="0" w:firstLine="0" w:firstLineChars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每周至少 3 次鱼类替代红肉：改善血管内皮功能。</w:t>
      </w:r>
    </w:p>
    <w:p w14:paraId="7A454C80">
      <w:pPr>
        <w:numPr>
          <w:ilvl w:val="0"/>
          <w:numId w:val="12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减少加工食品与外卖（因含盐量显著偏高）：降低隐形盐摄入。</w:t>
      </w:r>
    </w:p>
    <w:p w14:paraId="5EE1260A">
      <w:pPr>
        <w:numPr>
          <w:ilvl w:val="0"/>
          <w:numId w:val="0"/>
        </w:numPr>
        <w:wordWrap w:val="0"/>
        <w:ind w:left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</w:p>
    <w:p w14:paraId="21A454D4">
      <w:pPr>
        <w:numPr>
          <w:ilvl w:val="0"/>
          <w:numId w:val="0"/>
        </w:numPr>
        <w:wordWrap w:val="0"/>
        <w:ind w:left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（3）</w:t>
      </w: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生活方式建议</w:t>
      </w:r>
    </w:p>
    <w:p w14:paraId="235F483E">
      <w:pPr>
        <w:numPr>
          <w:ilvl w:val="0"/>
          <w:numId w:val="13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每天累积 20–30 分钟中等强度步行：改善血管弹性和交感神经紧张。</w:t>
      </w:r>
    </w:p>
    <w:p w14:paraId="2EABAEF4">
      <w:pPr>
        <w:numPr>
          <w:ilvl w:val="0"/>
          <w:numId w:val="13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保证 7 小时以上睡眠：睡眠不足会显著升高收缩压。</w:t>
      </w:r>
    </w:p>
    <w:p w14:paraId="4B655040">
      <w:pPr>
        <w:numPr>
          <w:ilvl w:val="0"/>
          <w:numId w:val="13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减少咖啡因摄入至每日 1 杯以内：避免交感兴奋导致血压升高。</w:t>
      </w:r>
    </w:p>
    <w:p w14:paraId="7C0896B4">
      <w:pPr>
        <w:numPr>
          <w:ilvl w:val="0"/>
          <w:numId w:val="13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情绪压力管理：每天 5 分钟深呼吸或放松训练：有效降低血压短期峰值。</w:t>
      </w:r>
    </w:p>
    <w:p w14:paraId="7237F82D">
      <w:pPr>
        <w:numPr>
          <w:ilvl w:val="0"/>
          <w:numId w:val="0"/>
        </w:numPr>
        <w:wordWrap w:val="0"/>
        <w:ind w:left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</w:p>
    <w:p w14:paraId="6C1A015D">
      <w:pPr>
        <w:numPr>
          <w:ilvl w:val="0"/>
          <w:numId w:val="0"/>
        </w:numPr>
        <w:wordWrap w:val="0"/>
        <w:ind w:left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（4）</w:t>
      </w: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定期监测建议</w:t>
      </w:r>
    </w:p>
    <w:p w14:paraId="5F45D367">
      <w:pPr>
        <w:numPr>
          <w:ilvl w:val="0"/>
          <w:numId w:val="14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每周自测血压 2–3 次（固定时间段，如早晨）：观察是否回到正常值。</w:t>
      </w:r>
    </w:p>
    <w:p w14:paraId="40136334">
      <w:pPr>
        <w:numPr>
          <w:ilvl w:val="0"/>
          <w:numId w:val="14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如连续 2 周仍在预警区间 → 建议升级“心血管与代谢负荷评估”。</w:t>
      </w:r>
    </w:p>
    <w:p w14:paraId="13F1881E">
      <w:pPr>
        <w:numPr>
          <w:ilvl w:val="0"/>
          <w:numId w:val="14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若出现 SBP ≥130 或 DBP ≥90 → 建议进一步医学评估。</w:t>
      </w:r>
    </w:p>
    <w:p w14:paraId="6DDD3788">
      <w:pPr>
        <w:numPr>
          <w:ilvl w:val="0"/>
          <w:numId w:val="14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血压计保持同一台设备测量，避免误差。</w:t>
      </w:r>
    </w:p>
    <w:p w14:paraId="15D0827C">
      <w:pPr>
        <w:numPr>
          <w:ilvl w:val="0"/>
          <w:numId w:val="0"/>
        </w:numPr>
        <w:wordWrap w:val="0"/>
        <w:ind w:leftChars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</w:p>
    <w:p w14:paraId="24CFCF05">
      <w:pPr>
        <w:numPr>
          <w:ilvl w:val="0"/>
          <w:numId w:val="0"/>
        </w:numPr>
        <w:wordWrap w:val="0"/>
        <w:rPr>
          <w:rFonts w:hint="eastAsia" w:ascii="Times New Roman" w:hAnsi="Times New Roman" w:eastAsia="楷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theme="minorBidi"/>
          <w:b/>
          <w:bCs/>
          <w:kern w:val="2"/>
          <w:sz w:val="28"/>
          <w:szCs w:val="28"/>
          <w:lang w:val="en-US" w:eastAsia="zh-CN" w:bidi="ar-SA"/>
        </w:rPr>
        <w:t>三、尿液</w:t>
      </w:r>
      <w:r>
        <w:rPr>
          <w:rFonts w:hint="eastAsia" w:ascii="Times New Roman" w:hAnsi="Times New Roman" w:eastAsia="楷体"/>
          <w:b/>
          <w:bCs/>
          <w:sz w:val="28"/>
          <w:szCs w:val="28"/>
          <w:lang w:val="en-US" w:eastAsia="zh-CN"/>
        </w:rPr>
        <w:t>基础监测（一级肾功能基础监测）</w:t>
      </w:r>
    </w:p>
    <w:p w14:paraId="282BE3DC">
      <w:pPr>
        <w:wordWrap w:val="0"/>
        <w:rPr>
          <w:rFonts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53AB3E95">
      <w:pPr>
        <w:numPr>
          <w:ilvl w:val="0"/>
          <w:numId w:val="0"/>
        </w:numPr>
        <w:wordWrap w:val="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（1）尿比重（SG）</w:t>
      </w:r>
    </w:p>
    <w:p w14:paraId="7B57F25B">
      <w:pPr>
        <w:numPr>
          <w:ilvl w:val="0"/>
          <w:numId w:val="0"/>
        </w:numPr>
        <w:wordWrap w:val="0"/>
        <w:ind w:firstLine="480" w:firstLineChars="200"/>
        <w:rPr>
          <w:rFonts w:hint="eastAsia" w:ascii="Times New Roman" w:hAnsi="Times New Roman" w:eastAsia="楷体"/>
          <w:sz w:val="24"/>
        </w:rPr>
      </w:pPr>
      <w:r>
        <w:rPr>
          <w:rFonts w:hint="eastAsia" w:ascii="Times New Roman" w:hAnsi="Times New Roman" w:eastAsia="楷体"/>
          <w:sz w:val="24"/>
        </w:rPr>
        <w:t>含义：</w:t>
      </w:r>
      <w:r>
        <w:rPr>
          <w:rFonts w:hint="eastAsia" w:ascii="Times New Roman" w:hAnsi="Times New Roman" w:eastAsia="楷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sz w:val="24"/>
        </w:rPr>
        <w:t>尿比重反映尿液的浓缩程度，偏高常提示饮水不足或脱水，偏低可能反映尿液过稀或肾脏浓缩能力下降。</w:t>
      </w:r>
    </w:p>
    <w:p w14:paraId="17C5B367">
      <w:pPr>
        <w:numPr>
          <w:ilvl w:val="0"/>
          <w:numId w:val="15"/>
        </w:numPr>
        <w:wordWrap w:val="0"/>
        <w:rPr>
          <w:rFonts w:ascii="Times New Roman" w:hAnsi="Times New Roman" w:eastAsia="楷体"/>
          <w:sz w:val="24"/>
        </w:rPr>
      </w:pPr>
      <w:r>
        <w:rPr>
          <w:rFonts w:ascii="Times New Roman" w:hAnsi="Times New Roman" w:eastAsia="楷体"/>
          <w:sz w:val="24"/>
        </w:rPr>
        <w:t>尿 pH</w:t>
      </w:r>
    </w:p>
    <w:p w14:paraId="1CF3BE12">
      <w:pPr>
        <w:numPr>
          <w:ilvl w:val="0"/>
          <w:numId w:val="0"/>
        </w:numPr>
        <w:wordWrap w:val="0"/>
        <w:ind w:firstLine="480" w:firstLineChars="200"/>
        <w:rPr>
          <w:rFonts w:hint="eastAsia" w:ascii="Times New Roman" w:hAnsi="Times New Roman" w:eastAsia="楷体"/>
          <w:sz w:val="24"/>
          <w:lang w:eastAsia="zh-CN"/>
        </w:rPr>
      </w:pPr>
      <w:r>
        <w:rPr>
          <w:rFonts w:hint="eastAsia" w:ascii="Times New Roman" w:hAnsi="Times New Roman" w:eastAsia="楷体"/>
          <w:sz w:val="24"/>
        </w:rPr>
        <w:t>含义：</w:t>
      </w:r>
      <w:r>
        <w:rPr>
          <w:rFonts w:hint="eastAsia" w:ascii="Times New Roman" w:hAnsi="Times New Roman" w:eastAsia="楷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sz w:val="24"/>
        </w:rPr>
        <w:t>尿 pH 表示尿液酸碱度，持续偏酸或偏碱都可能与饮食、代谢变化或泌尿系统异常有关</w:t>
      </w:r>
      <w:r>
        <w:rPr>
          <w:rFonts w:hint="eastAsia" w:ascii="Times New Roman" w:hAnsi="Times New Roman" w:eastAsia="楷体"/>
          <w:sz w:val="24"/>
          <w:lang w:eastAsia="zh-CN"/>
        </w:rPr>
        <w:t>。</w:t>
      </w:r>
    </w:p>
    <w:p w14:paraId="24D16318">
      <w:pPr>
        <w:numPr>
          <w:ilvl w:val="0"/>
          <w:numId w:val="0"/>
        </w:numPr>
        <w:wordWrap w:val="0"/>
        <w:rPr>
          <w:rFonts w:hint="eastAsia" w:ascii="Times New Roman" w:hAnsi="Times New Roman" w:eastAsia="楷体"/>
          <w:sz w:val="24"/>
          <w:lang w:val="en-US" w:eastAsia="zh-CN"/>
        </w:rPr>
      </w:pPr>
    </w:p>
    <w:p w14:paraId="0725A34C">
      <w:pPr>
        <w:numPr>
          <w:ilvl w:val="0"/>
          <w:numId w:val="16"/>
        </w:numPr>
        <w:wordWrap w:val="0"/>
        <w:rPr>
          <w:rFonts w:hint="eastAsia" w:ascii="Times New Roman" w:hAnsi="Times New Roman" w:eastAsia="楷体"/>
          <w:b/>
          <w:bCs/>
          <w:sz w:val="24"/>
        </w:rPr>
      </w:pPr>
      <w:r>
        <w:rPr>
          <w:rFonts w:hint="eastAsia" w:ascii="Times New Roman" w:hAnsi="Times New Roman" w:eastAsia="楷体"/>
          <w:b/>
          <w:bCs/>
          <w:sz w:val="24"/>
        </w:rPr>
        <w:t>具体指标范围</w:t>
      </w:r>
    </w:p>
    <w:tbl>
      <w:tblPr>
        <w:tblStyle w:val="2"/>
        <w:tblW w:w="8715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7"/>
        <w:gridCol w:w="819"/>
        <w:gridCol w:w="1665"/>
        <w:gridCol w:w="3854"/>
      </w:tblGrid>
      <w:tr w14:paraId="0AAEB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332" w:type="dxa"/>
            <w:vAlign w:val="center"/>
          </w:tcPr>
          <w:p w14:paraId="58C78AD0">
            <w:pPr>
              <w:wordWrap w:val="0"/>
              <w:rPr>
                <w:rFonts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指标</w:t>
            </w:r>
          </w:p>
        </w:tc>
        <w:tc>
          <w:tcPr>
            <w:tcW w:w="789" w:type="dxa"/>
            <w:vAlign w:val="center"/>
          </w:tcPr>
          <w:p w14:paraId="5EA9135D">
            <w:pPr>
              <w:wordWrap w:val="0"/>
              <w:rPr>
                <w:rFonts w:hint="eastAsia" w:ascii="Times New Roman" w:hAnsi="Times New Roman" w:eastAsia="楷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结果</w:t>
            </w:r>
          </w:p>
        </w:tc>
        <w:tc>
          <w:tcPr>
            <w:tcW w:w="1635" w:type="dxa"/>
            <w:vAlign w:val="center"/>
          </w:tcPr>
          <w:p w14:paraId="67B399DB">
            <w:pPr>
              <w:wordWrap w:val="0"/>
              <w:rPr>
                <w:rFonts w:hint="eastAsia" w:ascii="Times New Roman" w:hAnsi="Times New Roman" w:eastAsia="楷体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参考值</w:t>
            </w:r>
          </w:p>
        </w:tc>
        <w:tc>
          <w:tcPr>
            <w:tcW w:w="3809" w:type="dxa"/>
            <w:vAlign w:val="center"/>
          </w:tcPr>
          <w:p w14:paraId="1B266623">
            <w:pPr>
              <w:wordWrap w:val="0"/>
              <w:rPr>
                <w:rFonts w:hint="eastAsia" w:ascii="Times New Roman" w:hAnsi="Times New Roman" w:eastAsia="楷体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提示</w:t>
            </w:r>
          </w:p>
        </w:tc>
      </w:tr>
      <w:tr w14:paraId="455B3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32" w:type="dxa"/>
            <w:vAlign w:val="center"/>
          </w:tcPr>
          <w:p w14:paraId="679F4B26">
            <w:pPr>
              <w:wordWrap w:val="0"/>
              <w:rPr>
                <w:rFonts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尿比重（SG）</w:t>
            </w:r>
          </w:p>
        </w:tc>
        <w:tc>
          <w:tcPr>
            <w:tcW w:w="789" w:type="dxa"/>
            <w:vAlign w:val="center"/>
          </w:tcPr>
          <w:p w14:paraId="14D0439B">
            <w:pPr>
              <w:wordWrap w:val="0"/>
              <w:rPr>
                <w:rFonts w:hint="eastAsia" w:ascii="Times New Roman" w:hAnsi="Times New Roman" w:eastAsia="楷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正常</w:t>
            </w:r>
          </w:p>
          <w:p w14:paraId="1CC2F6DB">
            <w:pPr>
              <w:wordWrap w:val="0"/>
              <w:rPr>
                <w:rFonts w:hint="eastAsia" w:ascii="Times New Roman" w:hAnsi="Times New Roman" w:eastAsia="楷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偏高</w:t>
            </w:r>
          </w:p>
          <w:p w14:paraId="58E819B9">
            <w:pPr>
              <w:wordWrap w:val="0"/>
              <w:rPr>
                <w:rFonts w:hint="default" w:ascii="Times New Roman" w:hAnsi="Times New Roman" w:eastAsia="楷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偏低</w:t>
            </w:r>
          </w:p>
        </w:tc>
        <w:tc>
          <w:tcPr>
            <w:tcW w:w="1635" w:type="dxa"/>
            <w:vAlign w:val="center"/>
          </w:tcPr>
          <w:p w14:paraId="6760D0CB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1.005–1.030</w:t>
            </w:r>
          </w:p>
          <w:p w14:paraId="0A918BF2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&gt; 1.030</w:t>
            </w:r>
          </w:p>
          <w:p w14:paraId="4FE4E16E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&lt; 1.005</w:t>
            </w:r>
          </w:p>
        </w:tc>
        <w:tc>
          <w:tcPr>
            <w:tcW w:w="3809" w:type="dxa"/>
            <w:vAlign w:val="center"/>
          </w:tcPr>
          <w:p w14:paraId="29034630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体液浓缩情况正常。</w:t>
            </w:r>
          </w:p>
          <w:p w14:paraId="7875ABC7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可能饮水不足或脱水，建议补充水分。</w:t>
            </w:r>
          </w:p>
          <w:p w14:paraId="21D901BC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尿液过稀，可能与大量饮水或肾浓缩功能下降有关。</w:t>
            </w:r>
          </w:p>
        </w:tc>
      </w:tr>
      <w:tr w14:paraId="4A230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32" w:type="dxa"/>
            <w:vAlign w:val="center"/>
          </w:tcPr>
          <w:p w14:paraId="21140FF4">
            <w:pPr>
              <w:wordWrap w:val="0"/>
              <w:rPr>
                <w:rFonts w:ascii="Times New Roman" w:hAnsi="Times New Roman" w:eastAsia="楷体"/>
                <w:sz w:val="24"/>
                <w:highlight w:val="none"/>
              </w:rPr>
            </w:pPr>
            <w:r>
              <w:rPr>
                <w:rFonts w:ascii="Times New Roman" w:hAnsi="Times New Roman" w:eastAsia="楷体"/>
                <w:sz w:val="24"/>
                <w:highlight w:val="none"/>
              </w:rPr>
              <w:t>尿 pH（酸碱度）</w:t>
            </w:r>
          </w:p>
        </w:tc>
        <w:tc>
          <w:tcPr>
            <w:tcW w:w="789" w:type="dxa"/>
            <w:vAlign w:val="center"/>
          </w:tcPr>
          <w:p w14:paraId="655A10C9">
            <w:pPr>
              <w:wordWrap w:val="0"/>
              <w:rPr>
                <w:rFonts w:hint="eastAsia" w:ascii="Times New Roman" w:hAnsi="Times New Roman" w:eastAsia="楷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  <w:lang w:val="en-US" w:eastAsia="zh-CN"/>
              </w:rPr>
              <w:t>正常</w:t>
            </w:r>
          </w:p>
          <w:p w14:paraId="03F6CFF6">
            <w:pPr>
              <w:wordWrap w:val="0"/>
              <w:rPr>
                <w:rFonts w:hint="eastAsia" w:ascii="Times New Roman" w:hAnsi="Times New Roman" w:eastAsia="楷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  <w:lang w:val="en-US" w:eastAsia="zh-CN"/>
              </w:rPr>
              <w:t>偏酸</w:t>
            </w:r>
          </w:p>
          <w:p w14:paraId="15993290">
            <w:pPr>
              <w:wordWrap w:val="0"/>
              <w:rPr>
                <w:rFonts w:hint="default" w:ascii="Times New Roman" w:hAnsi="Times New Roman" w:eastAsia="楷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  <w:lang w:val="en-US" w:eastAsia="zh-CN"/>
              </w:rPr>
              <w:t>偏碱</w:t>
            </w:r>
          </w:p>
        </w:tc>
        <w:tc>
          <w:tcPr>
            <w:tcW w:w="1635" w:type="dxa"/>
            <w:vAlign w:val="center"/>
          </w:tcPr>
          <w:p w14:paraId="34A01A42">
            <w:pPr>
              <w:wordWrap w:val="0"/>
              <w:rPr>
                <w:rFonts w:hint="eastAsia"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4.5–8.0</w:t>
            </w:r>
          </w:p>
          <w:p w14:paraId="3BF6A815">
            <w:pPr>
              <w:wordWrap w:val="0"/>
              <w:rPr>
                <w:rFonts w:hint="eastAsia"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&lt; 5.0</w:t>
            </w:r>
          </w:p>
          <w:p w14:paraId="6048A905">
            <w:pPr>
              <w:wordWrap w:val="0"/>
              <w:rPr>
                <w:rFonts w:hint="eastAsia"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&gt; 8.0</w:t>
            </w:r>
          </w:p>
        </w:tc>
        <w:tc>
          <w:tcPr>
            <w:tcW w:w="3809" w:type="dxa"/>
            <w:vAlign w:val="center"/>
          </w:tcPr>
          <w:p w14:paraId="08CCA7F2">
            <w:pPr>
              <w:wordWrap w:val="0"/>
              <w:rPr>
                <w:rFonts w:hint="eastAsia"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酸碱度在正常范围内。</w:t>
            </w:r>
          </w:p>
          <w:p w14:paraId="6317236A">
            <w:pPr>
              <w:wordWrap w:val="0"/>
              <w:rPr>
                <w:rFonts w:hint="eastAsia"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可能与高蛋白饮食、代谢变化或感染相关。</w:t>
            </w:r>
          </w:p>
          <w:p w14:paraId="350A4C6D">
            <w:pPr>
              <w:wordWrap w:val="0"/>
              <w:rPr>
                <w:rFonts w:hint="eastAsia"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可能与高蛋白饮食、代谢变化或感染相关。</w:t>
            </w:r>
          </w:p>
        </w:tc>
      </w:tr>
    </w:tbl>
    <w:p w14:paraId="5EC1A584">
      <w:pPr>
        <w:numPr>
          <w:ilvl w:val="0"/>
          <w:numId w:val="0"/>
        </w:numPr>
        <w:wordWrap w:val="0"/>
        <w:rPr>
          <w:rFonts w:hint="default" w:ascii="Times New Roman" w:hAnsi="Times New Roman" w:eastAsia="楷体"/>
          <w:b/>
          <w:bCs/>
          <w:sz w:val="24"/>
          <w:szCs w:val="24"/>
          <w:lang w:val="en-US" w:eastAsia="zh-CN"/>
        </w:rPr>
      </w:pPr>
    </w:p>
    <w:p w14:paraId="65967468">
      <w:pPr>
        <w:numPr>
          <w:ilvl w:val="0"/>
          <w:numId w:val="17"/>
        </w:numPr>
        <w:wordWrap w:val="0"/>
        <w:ind w:left="0" w:leftChars="0" w:firstLine="0" w:firstLineChars="0"/>
        <w:rPr>
          <w:rFonts w:hint="eastAsia" w:ascii="Times New Roman" w:hAnsi="Times New Roman" w:eastAsia="楷体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楷体"/>
          <w:b/>
          <w:bCs/>
          <w:sz w:val="24"/>
          <w:lang w:val="en-US" w:eastAsia="zh-CN"/>
        </w:rPr>
        <w:t>尿液基础检测波动应对方案</w:t>
      </w:r>
    </w:p>
    <w:p w14:paraId="349C2AB9">
      <w:pPr>
        <w:numPr>
          <w:ilvl w:val="0"/>
          <w:numId w:val="0"/>
        </w:numPr>
        <w:wordWrap w:val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·触发条件（满足任一即可推送该方案）</w:t>
      </w:r>
    </w:p>
    <w:p w14:paraId="21EB0DFB">
      <w:pPr>
        <w:numPr>
          <w:ilvl w:val="0"/>
          <w:numId w:val="18"/>
        </w:numPr>
        <w:wordWrap w:val="0"/>
        <w:ind w:left="0" w:leftChars="0" w:firstLine="400" w:firstLineChars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尿比重（SG）</w:t>
      </w:r>
    </w:p>
    <w:p w14:paraId="3EC6D314">
      <w:pPr>
        <w:numPr>
          <w:ilvl w:val="0"/>
          <w:numId w:val="0"/>
        </w:numPr>
        <w:wordWrap w:val="0"/>
        <w:ind w:firstLine="720" w:firstLineChars="30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偏高 &gt; 1.030</w:t>
      </w:r>
    </w:p>
    <w:p w14:paraId="1257526E">
      <w:pPr>
        <w:numPr>
          <w:ilvl w:val="0"/>
          <w:numId w:val="0"/>
        </w:numPr>
        <w:wordWrap w:val="0"/>
        <w:ind w:firstLine="720" w:firstLineChars="30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偏低 &lt; 1.005</w:t>
      </w:r>
    </w:p>
    <w:p w14:paraId="0013CFAE">
      <w:pPr>
        <w:numPr>
          <w:ilvl w:val="0"/>
          <w:numId w:val="18"/>
        </w:numPr>
        <w:wordWrap w:val="0"/>
        <w:ind w:left="0" w:leftChars="0" w:firstLine="400" w:firstLineChars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尿 pH（酸碱度）</w:t>
      </w:r>
    </w:p>
    <w:p w14:paraId="20EC33D0">
      <w:pPr>
        <w:numPr>
          <w:ilvl w:val="0"/>
          <w:numId w:val="0"/>
        </w:numPr>
        <w:wordWrap w:val="0"/>
        <w:ind w:firstLine="720" w:firstLineChars="30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偏酸 &lt; 5.0</w:t>
      </w:r>
    </w:p>
    <w:p w14:paraId="7D966E44">
      <w:pPr>
        <w:numPr>
          <w:ilvl w:val="0"/>
          <w:numId w:val="0"/>
        </w:numPr>
        <w:wordWrap w:val="0"/>
        <w:ind w:firstLine="720" w:firstLineChars="30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偏碱 &gt; 8.0</w:t>
      </w:r>
    </w:p>
    <w:p w14:paraId="4C6B0AEC">
      <w:pPr>
        <w:numPr>
          <w:ilvl w:val="0"/>
          <w:numId w:val="0"/>
        </w:numPr>
        <w:wordWrap w:val="0"/>
        <w:ind w:firstLine="480" w:firstLineChars="20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说明：当前属于“轻度偏离正常、容易通过饮食/水分/生活方式调整恢复”的阶段。</w:t>
      </w:r>
    </w:p>
    <w:p w14:paraId="15FF14D8">
      <w:pPr>
        <w:numPr>
          <w:ilvl w:val="0"/>
          <w:numId w:val="0"/>
        </w:numPr>
        <w:wordWrap w:val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</w:p>
    <w:p w14:paraId="1536C499">
      <w:pPr>
        <w:numPr>
          <w:ilvl w:val="0"/>
          <w:numId w:val="0"/>
        </w:numPr>
        <w:wordWrap w:val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·具体方案：</w:t>
      </w:r>
    </w:p>
    <w:p w14:paraId="30E04F5E">
      <w:pPr>
        <w:numPr>
          <w:ilvl w:val="0"/>
          <w:numId w:val="0"/>
        </w:numPr>
        <w:wordWrap w:val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</w:p>
    <w:p w14:paraId="0E906BC4">
      <w:pPr>
        <w:numPr>
          <w:ilvl w:val="0"/>
          <w:numId w:val="0"/>
        </w:numPr>
        <w:wordWrap w:val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（1）</w:t>
      </w: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营养补充建议</w:t>
      </w:r>
    </w:p>
    <w:p w14:paraId="5F334197">
      <w:pPr>
        <w:numPr>
          <w:ilvl w:val="0"/>
          <w:numId w:val="19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维生素C：适度调节尿液酸碱度，改善代谢负担。</w:t>
      </w:r>
    </w:p>
    <w:p w14:paraId="007954D4">
      <w:pPr>
        <w:numPr>
          <w:ilvl w:val="0"/>
          <w:numId w:val="19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益生元（菊粉/抗性淀粉）：稳定代谢产物排泄，改善酸碱波动。</w:t>
      </w:r>
    </w:p>
    <w:p w14:paraId="66AE15B4">
      <w:pPr>
        <w:numPr>
          <w:ilvl w:val="0"/>
          <w:numId w:val="19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碱性矿物质来源（如深绿色蔬菜粉）：有助尿 pH 偏酸人群恢复平衡。</w:t>
      </w:r>
    </w:p>
    <w:p w14:paraId="298C20F0">
      <w:pPr>
        <w:numPr>
          <w:ilvl w:val="0"/>
          <w:numId w:val="0"/>
        </w:numPr>
        <w:wordWrap w:val="0"/>
        <w:ind w:left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</w:p>
    <w:p w14:paraId="71DD1DBF">
      <w:pPr>
        <w:numPr>
          <w:ilvl w:val="0"/>
          <w:numId w:val="0"/>
        </w:numPr>
        <w:wordWrap w:val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（2）饮食建议</w:t>
      </w:r>
    </w:p>
    <w:p w14:paraId="3E99B423">
      <w:pPr>
        <w:numPr>
          <w:ilvl w:val="0"/>
          <w:numId w:val="20"/>
        </w:numPr>
        <w:wordWrap w:val="0"/>
        <w:ind w:left="0" w:leftChars="0" w:firstLine="0" w:firstLineChars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增加饮水量至每日 1200–1800 ml（分多次饮用）：用于 SG 偏高或尿液变浓的情况。</w:t>
      </w:r>
    </w:p>
    <w:p w14:paraId="461BA8C9">
      <w:pPr>
        <w:numPr>
          <w:ilvl w:val="0"/>
          <w:numId w:val="20"/>
        </w:numPr>
        <w:wordWrap w:val="0"/>
        <w:ind w:left="0" w:leftChars="0" w:firstLine="0" w:firstLineChars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减少高盐、高蛋白饮食（如火锅、烧烤）：避免代谢负荷升高导致 pH 波动。</w:t>
      </w:r>
    </w:p>
    <w:p w14:paraId="66BE46A9">
      <w:pPr>
        <w:numPr>
          <w:ilvl w:val="0"/>
          <w:numId w:val="20"/>
        </w:numPr>
        <w:wordWrap w:val="0"/>
        <w:ind w:left="0" w:leftChars="0" w:firstLine="0" w:firstLineChars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增加蔬菜摄入（每天至少 2–3 份）：改善酸碱平衡与代谢产物排泄。</w:t>
      </w:r>
    </w:p>
    <w:p w14:paraId="1757826B">
      <w:pPr>
        <w:numPr>
          <w:ilvl w:val="0"/>
          <w:numId w:val="20"/>
        </w:numPr>
        <w:wordWrap w:val="0"/>
        <w:ind w:left="0" w:leftChars="0" w:firstLine="0" w:firstLineChars="0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减少含糖饮料、浓茶、咖啡：避免利尿过强导致尿 SG 偏低或酸碱波动。</w:t>
      </w:r>
    </w:p>
    <w:p w14:paraId="6AC40464">
      <w:pPr>
        <w:numPr>
          <w:ilvl w:val="0"/>
          <w:numId w:val="0"/>
        </w:numPr>
        <w:wordWrap w:val="0"/>
        <w:ind w:left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</w:p>
    <w:p w14:paraId="67ACF69D">
      <w:pPr>
        <w:numPr>
          <w:ilvl w:val="0"/>
          <w:numId w:val="0"/>
        </w:numPr>
        <w:wordWrap w:val="0"/>
        <w:ind w:left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（3）</w:t>
      </w: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生活方式建议</w:t>
      </w:r>
    </w:p>
    <w:p w14:paraId="3781775C">
      <w:pPr>
        <w:numPr>
          <w:ilvl w:val="0"/>
          <w:numId w:val="21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保持规律运动（每周 3–5 次、每次 20–30 分钟）：促进代谢产物正常排泄。</w:t>
      </w:r>
    </w:p>
    <w:p w14:paraId="17BE8E2A">
      <w:pPr>
        <w:numPr>
          <w:ilvl w:val="0"/>
          <w:numId w:val="21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减少长时间憋尿：避免尿液过浓或酸碱度过大波动。</w:t>
      </w:r>
    </w:p>
    <w:p w14:paraId="5F33CE68">
      <w:pPr>
        <w:numPr>
          <w:ilvl w:val="0"/>
          <w:numId w:val="21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避免高强度出汗后不补水：特别适合 SG 偏高人群。</w:t>
      </w:r>
    </w:p>
    <w:p w14:paraId="6CAAEB47">
      <w:pPr>
        <w:numPr>
          <w:ilvl w:val="0"/>
          <w:numId w:val="21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保持均衡作息，减少熬夜：代谢紊乱会影响尿液酸碱与浓缩能力。</w:t>
      </w:r>
    </w:p>
    <w:p w14:paraId="4C8AF5DD">
      <w:pPr>
        <w:numPr>
          <w:ilvl w:val="0"/>
          <w:numId w:val="0"/>
        </w:numPr>
        <w:wordWrap w:val="0"/>
        <w:ind w:left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</w:p>
    <w:p w14:paraId="5B2FDE3C">
      <w:pPr>
        <w:numPr>
          <w:ilvl w:val="0"/>
          <w:numId w:val="0"/>
        </w:numPr>
        <w:wordWrap w:val="0"/>
        <w:ind w:left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（4）</w:t>
      </w: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定期监测建议</w:t>
      </w:r>
    </w:p>
    <w:p w14:paraId="7F2D1399">
      <w:pPr>
        <w:numPr>
          <w:ilvl w:val="0"/>
          <w:numId w:val="22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每 1–2 周复测一次尿检（SG + pH），观察是否回到正常。</w:t>
      </w:r>
    </w:p>
    <w:p w14:paraId="67394558">
      <w:pPr>
        <w:numPr>
          <w:ilvl w:val="0"/>
          <w:numId w:val="22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如连续两次仍异常 → 建议升级到“肾脏过滤与排泄评估”。</w:t>
      </w:r>
    </w:p>
    <w:p w14:paraId="60D77B83">
      <w:pPr>
        <w:numPr>
          <w:ilvl w:val="0"/>
          <w:numId w:val="22"/>
        </w:numPr>
        <w:wordWrap w:val="0"/>
        <w:ind w:left="0" w:leftChars="0" w:firstLine="0" w:firstLineChars="0"/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如出现 SG 极低且伴疲劳、浮肿 → 建议尽快医学评估（排除肾浓缩能力下降）。</w:t>
      </w:r>
    </w:p>
    <w:p w14:paraId="28D3A542">
      <w:pPr>
        <w:numPr>
          <w:ilvl w:val="0"/>
          <w:numId w:val="22"/>
        </w:numPr>
        <w:wordWrap w:val="0"/>
        <w:ind w:left="0" w:leftChars="0" w:firstLine="0" w:firstLineChars="0"/>
        <w:rPr>
          <w:rFonts w:ascii="Times New Roman" w:hAnsi="Times New Roman" w:eastAsia="楷体"/>
          <w:sz w:val="28"/>
          <w:szCs w:val="28"/>
        </w:rPr>
      </w:pPr>
      <w:r>
        <w:rPr>
          <w:rFonts w:hint="default" w:ascii="Times New Roman" w:hAnsi="Times New Roman" w:eastAsia="楷体"/>
          <w:b w:val="0"/>
          <w:bCs w:val="0"/>
          <w:sz w:val="24"/>
          <w:lang w:val="en-US" w:eastAsia="zh-CN"/>
        </w:rPr>
        <w:t>尽量用相同时间段、相同取样方式测量（晨尿），避免测量误差。</w:t>
      </w:r>
    </w:p>
    <w:p w14:paraId="4F7397C8">
      <w:pPr>
        <w:numPr>
          <w:ilvl w:val="0"/>
          <w:numId w:val="0"/>
        </w:numPr>
        <w:wordWrap w:val="0"/>
        <w:ind w:leftChars="0"/>
        <w:rPr>
          <w:rFonts w:hint="eastAsia" w:ascii="Times New Roman" w:hAnsi="Times New Roman" w:eastAsia="楷体"/>
          <w:sz w:val="28"/>
          <w:szCs w:val="28"/>
          <w:lang w:eastAsia="zh-CN"/>
        </w:rPr>
      </w:pPr>
      <w:r>
        <w:rPr>
          <w:rFonts w:hint="eastAsia" w:ascii="Times New Roman" w:hAnsi="Times New Roman" w:eastAsia="楷体"/>
          <w:b/>
          <w:bCs/>
          <w:sz w:val="28"/>
          <w:szCs w:val="28"/>
          <w:lang w:val="en-US" w:eastAsia="zh-CN"/>
        </w:rPr>
        <w:t>四</w:t>
      </w:r>
      <w:r>
        <w:rPr>
          <w:rFonts w:ascii="Times New Roman" w:hAnsi="Times New Roman" w:eastAsia="楷体"/>
          <w:b/>
          <w:bCs/>
          <w:sz w:val="28"/>
          <w:szCs w:val="28"/>
        </w:rPr>
        <w:t>、</w:t>
      </w:r>
      <w:r>
        <w:rPr>
          <w:rFonts w:hint="eastAsia" w:ascii="Times New Roman" w:hAnsi="Times New Roman" w:eastAsia="楷体"/>
          <w:b/>
          <w:bCs/>
          <w:sz w:val="28"/>
          <w:szCs w:val="28"/>
        </w:rPr>
        <w:t>呼吸系统功能监测</w:t>
      </w:r>
      <w:r>
        <w:rPr>
          <w:rFonts w:hint="eastAsia" w:ascii="Times New Roman" w:hAnsi="Times New Roman" w:eastAsia="楷体"/>
          <w:b/>
          <w:bCs/>
          <w:sz w:val="28"/>
          <w:szCs w:val="28"/>
          <w:lang w:eastAsia="zh-CN"/>
        </w:rPr>
        <w:t>（</w:t>
      </w:r>
      <w:r>
        <w:rPr>
          <w:rFonts w:hint="eastAsia" w:ascii="Times New Roman" w:hAnsi="Times New Roman" w:eastAsia="楷体"/>
          <w:b/>
          <w:bCs/>
          <w:sz w:val="28"/>
          <w:szCs w:val="28"/>
          <w:lang w:val="en-US" w:eastAsia="zh-CN"/>
        </w:rPr>
        <w:t>一级</w:t>
      </w:r>
      <w:r>
        <w:rPr>
          <w:rFonts w:hint="eastAsia" w:ascii="Times New Roman" w:hAnsi="Times New Roman" w:eastAsia="楷体"/>
          <w:b/>
          <w:bCs/>
          <w:sz w:val="28"/>
          <w:szCs w:val="28"/>
          <w:lang w:eastAsia="zh-CN"/>
        </w:rPr>
        <w:t>身体功能与体能促进，</w:t>
      </w:r>
      <w:r>
        <w:rPr>
          <w:rFonts w:hint="eastAsia" w:ascii="Times New Roman" w:hAnsi="Times New Roman" w:eastAsia="楷体"/>
          <w:b/>
          <w:bCs/>
          <w:sz w:val="28"/>
          <w:szCs w:val="28"/>
          <w:lang w:val="en-US" w:eastAsia="zh-CN"/>
        </w:rPr>
        <w:t>二级心肺耐力与运动水平分析</w:t>
      </w:r>
      <w:r>
        <w:rPr>
          <w:rFonts w:hint="eastAsia" w:ascii="Times New Roman" w:hAnsi="Times New Roman" w:eastAsia="楷体"/>
          <w:b/>
          <w:bCs/>
          <w:sz w:val="28"/>
          <w:szCs w:val="28"/>
          <w:lang w:eastAsia="zh-CN"/>
        </w:rPr>
        <w:t>）</w:t>
      </w:r>
    </w:p>
    <w:p w14:paraId="7997E2A4">
      <w:pPr>
        <w:wordWrap w:val="0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b/>
          <w:bCs/>
          <w:sz w:val="24"/>
        </w:rPr>
        <w:t>1. 具体指标</w:t>
      </w:r>
    </w:p>
    <w:p w14:paraId="680A6412">
      <w:pPr>
        <w:wordWrap w:val="0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）第一秒呼出量百分比（</w:t>
      </w:r>
      <w:r>
        <w:rPr>
          <w:rFonts w:hint="eastAsia" w:ascii="Times New Roman" w:hAnsi="Times New Roman" w:eastAsia="楷体"/>
          <w:sz w:val="24"/>
          <w:highlight w:val="none"/>
        </w:rPr>
        <w:t>FEV1%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）</w:t>
      </w:r>
    </w:p>
    <w:p w14:paraId="18B3B3F9">
      <w:pPr>
        <w:wordWrap w:val="0"/>
        <w:ind w:firstLine="480" w:firstLineChars="200"/>
        <w:rPr>
          <w:rFonts w:hint="eastAsia" w:ascii="Times New Roman" w:hAnsi="Times New Roman" w:eastAsia="楷体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楷体"/>
          <w:sz w:val="24"/>
        </w:rPr>
        <w:t>含义：</w:t>
      </w:r>
      <w:r>
        <w:rPr>
          <w:rFonts w:hint="eastAsia" w:ascii="Times New Roman" w:hAnsi="Times New Roman" w:eastAsia="楷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第一秒呼出量百分比</w:t>
      </w:r>
      <w:r>
        <w:rPr>
          <w:rFonts w:hint="eastAsia" w:ascii="Times New Roman" w:hAnsi="Times New Roman" w:eastAsia="楷体"/>
          <w:sz w:val="24"/>
          <w:highlight w:val="none"/>
        </w:rPr>
        <w:t>反映气道通畅度，偏低提示早期气道阻塞或呼吸功能下降，需要关注呼吸系统健康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。</w:t>
      </w:r>
    </w:p>
    <w:p w14:paraId="6F2BE445">
      <w:pPr>
        <w:numPr>
          <w:ilvl w:val="0"/>
          <w:numId w:val="0"/>
        </w:numPr>
        <w:wordWrap w:val="0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 w:cstheme="minorBidi"/>
          <w:kern w:val="2"/>
          <w:sz w:val="24"/>
          <w:szCs w:val="24"/>
          <w:lang w:val="en-US" w:eastAsia="zh-CN" w:bidi="ar-SA"/>
        </w:rPr>
        <w:t>（2）</w:t>
      </w:r>
      <w:r>
        <w:rPr>
          <w:rFonts w:hint="eastAsia" w:ascii="Times New Roman" w:hAnsi="Times New Roman" w:eastAsia="楷体"/>
          <w:sz w:val="24"/>
          <w:highlight w:val="none"/>
        </w:rPr>
        <w:t>用力肺活量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highlight w:val="none"/>
        </w:rPr>
        <w:t>FVC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）</w:t>
      </w:r>
    </w:p>
    <w:p w14:paraId="5445BCF4">
      <w:pPr>
        <w:numPr>
          <w:ilvl w:val="0"/>
          <w:numId w:val="0"/>
        </w:numPr>
        <w:wordWrap w:val="0"/>
        <w:ind w:firstLine="480" w:firstLineChars="200"/>
        <w:rPr>
          <w:rFonts w:hint="eastAsia" w:ascii="Times New Roman" w:hAnsi="Times New Roman" w:eastAsia="楷体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楷体"/>
          <w:sz w:val="24"/>
        </w:rPr>
        <w:t>含义：</w:t>
      </w:r>
      <w:r>
        <w:rPr>
          <w:rFonts w:hint="eastAsia" w:ascii="Times New Roman" w:hAnsi="Times New Roman" w:eastAsia="楷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sz w:val="24"/>
          <w:highlight w:val="none"/>
        </w:rPr>
        <w:t>用力肺活量表示深吸气后能用力呼出的总量，偏低意味着肺容量或肺扩张能力下降，可能存在通气受限。</w:t>
      </w:r>
    </w:p>
    <w:p w14:paraId="22238E4B">
      <w:pPr>
        <w:numPr>
          <w:ilvl w:val="0"/>
          <w:numId w:val="0"/>
        </w:numPr>
        <w:wordWrap w:val="0"/>
        <w:rPr>
          <w:rFonts w:hint="eastAsia" w:ascii="Times New Roman" w:hAnsi="Times New Roman" w:eastAsia="楷体"/>
          <w:sz w:val="24"/>
          <w:highlight w:val="none"/>
        </w:rPr>
      </w:pPr>
      <w:r>
        <w:rPr>
          <w:rFonts w:hint="eastAsia" w:ascii="Times New Roman" w:hAnsi="Times New Roman" w:eastAsia="楷体" w:cstheme="minorBidi"/>
          <w:kern w:val="2"/>
          <w:sz w:val="24"/>
          <w:szCs w:val="24"/>
          <w:lang w:val="en-US" w:eastAsia="zh-CN" w:bidi="ar-SA"/>
        </w:rPr>
        <w:t>（3）</w:t>
      </w:r>
      <w:r>
        <w:rPr>
          <w:rFonts w:hint="eastAsia" w:ascii="Times New Roman" w:hAnsi="Times New Roman" w:eastAsia="楷体"/>
          <w:sz w:val="24"/>
          <w:highlight w:val="none"/>
        </w:rPr>
        <w:t>呼气流量峰值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/>
          <w:sz w:val="24"/>
          <w:highlight w:val="none"/>
        </w:rPr>
        <w:t>PEF</w:t>
      </w:r>
      <w:r>
        <w:rPr>
          <w:rFonts w:hint="eastAsia" w:ascii="Times New Roman" w:hAnsi="Times New Roman" w:eastAsia="楷体"/>
          <w:sz w:val="24"/>
          <w:highlight w:val="none"/>
          <w:lang w:eastAsia="zh-CN"/>
        </w:rPr>
        <w:t>）</w:t>
      </w:r>
    </w:p>
    <w:p w14:paraId="21493F73">
      <w:pPr>
        <w:numPr>
          <w:ilvl w:val="0"/>
          <w:numId w:val="0"/>
        </w:numPr>
        <w:wordWrap w:val="0"/>
        <w:ind w:firstLine="480" w:firstLineChars="200"/>
        <w:rPr>
          <w:rFonts w:hint="eastAsia" w:ascii="Times New Roman" w:hAnsi="Times New Roman" w:eastAsia="楷体"/>
          <w:sz w:val="24"/>
          <w:highlight w:val="none"/>
          <w:lang w:eastAsia="zh-CN"/>
        </w:rPr>
      </w:pPr>
      <w:r>
        <w:rPr>
          <w:rFonts w:hint="eastAsia" w:ascii="Times New Roman" w:hAnsi="Times New Roman" w:eastAsia="楷体"/>
          <w:sz w:val="24"/>
        </w:rPr>
        <w:t>含义：</w:t>
      </w:r>
      <w:r>
        <w:rPr>
          <w:rFonts w:hint="eastAsia" w:ascii="Times New Roman" w:hAnsi="Times New Roman" w:eastAsia="楷体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楷体"/>
          <w:sz w:val="24"/>
          <w:highlight w:val="none"/>
        </w:rPr>
        <w:t>呼气流量峰值反映呼气时的最大气流速度，偏低提示大气道通畅度不足，是哮喘与呼吸异常的重要提示信号。</w:t>
      </w:r>
    </w:p>
    <w:p w14:paraId="42418F1E">
      <w:pPr>
        <w:numPr>
          <w:ilvl w:val="0"/>
          <w:numId w:val="0"/>
        </w:numPr>
        <w:wordWrap w:val="0"/>
        <w:rPr>
          <w:rFonts w:hint="eastAsia" w:ascii="Times New Roman" w:hAnsi="Times New Roman" w:eastAsia="楷体"/>
          <w:sz w:val="24"/>
          <w:highlight w:val="none"/>
          <w:lang w:eastAsia="zh-CN"/>
        </w:rPr>
      </w:pPr>
    </w:p>
    <w:p w14:paraId="6B707A3F">
      <w:pPr>
        <w:wordWrap w:val="0"/>
        <w:rPr>
          <w:rFonts w:ascii="Times New Roman" w:hAnsi="Times New Roman" w:eastAsia="楷体"/>
          <w:sz w:val="28"/>
          <w:szCs w:val="28"/>
        </w:rPr>
      </w:pPr>
      <w:r>
        <w:rPr>
          <w:rFonts w:hint="eastAsia" w:ascii="Times New Roman" w:hAnsi="Times New Roman" w:eastAsia="楷体"/>
          <w:b/>
          <w:bCs/>
          <w:sz w:val="24"/>
        </w:rPr>
        <w:t>2. 具体指标范围</w:t>
      </w:r>
    </w:p>
    <w:tbl>
      <w:tblPr>
        <w:tblStyle w:val="2"/>
        <w:tblW w:w="8715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7"/>
        <w:gridCol w:w="759"/>
        <w:gridCol w:w="2085"/>
        <w:gridCol w:w="3494"/>
      </w:tblGrid>
      <w:tr w14:paraId="34F79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tblCellSpacing w:w="15" w:type="dxa"/>
        </w:trPr>
        <w:tc>
          <w:tcPr>
            <w:tcW w:w="2332" w:type="dxa"/>
            <w:vAlign w:val="center"/>
          </w:tcPr>
          <w:p w14:paraId="1767DEA8">
            <w:pPr>
              <w:wordWrap w:val="0"/>
              <w:rPr>
                <w:rFonts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指标</w:t>
            </w:r>
          </w:p>
        </w:tc>
        <w:tc>
          <w:tcPr>
            <w:tcW w:w="729" w:type="dxa"/>
            <w:vAlign w:val="center"/>
          </w:tcPr>
          <w:p w14:paraId="45094B35">
            <w:pPr>
              <w:wordWrap w:val="0"/>
              <w:rPr>
                <w:rFonts w:hint="eastAsia" w:ascii="Times New Roman" w:hAnsi="Times New Roman" w:eastAsia="楷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结果</w:t>
            </w:r>
          </w:p>
        </w:tc>
        <w:tc>
          <w:tcPr>
            <w:tcW w:w="2055" w:type="dxa"/>
            <w:vAlign w:val="center"/>
          </w:tcPr>
          <w:p w14:paraId="0718B1A7">
            <w:pPr>
              <w:wordWrap w:val="0"/>
              <w:rPr>
                <w:rFonts w:hint="eastAsia" w:ascii="Times New Roman" w:hAnsi="Times New Roman" w:eastAsia="楷体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参考值</w:t>
            </w:r>
          </w:p>
        </w:tc>
        <w:tc>
          <w:tcPr>
            <w:tcW w:w="3449" w:type="dxa"/>
            <w:vAlign w:val="center"/>
          </w:tcPr>
          <w:p w14:paraId="44FE26A4">
            <w:pPr>
              <w:wordWrap w:val="0"/>
              <w:rPr>
                <w:rFonts w:hint="eastAsia" w:ascii="Times New Roman" w:hAnsi="Times New Roman" w:eastAsia="楷体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提示</w:t>
            </w:r>
          </w:p>
        </w:tc>
      </w:tr>
      <w:tr w14:paraId="06C7B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32" w:type="dxa"/>
            <w:vAlign w:val="center"/>
          </w:tcPr>
          <w:p w14:paraId="3BEBFC3A">
            <w:pPr>
              <w:wordWrap w:val="0"/>
              <w:rPr>
                <w:rFonts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第一秒呼出量百分比（FEV1%）</w:t>
            </w:r>
          </w:p>
        </w:tc>
        <w:tc>
          <w:tcPr>
            <w:tcW w:w="729" w:type="dxa"/>
            <w:vAlign w:val="center"/>
          </w:tcPr>
          <w:p w14:paraId="7548DB4A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正常</w:t>
            </w:r>
          </w:p>
          <w:p w14:paraId="6275DC87">
            <w:pPr>
              <w:wordWrap w:val="0"/>
              <w:rPr>
                <w:rFonts w:hint="eastAsia" w:ascii="Times New Roman" w:hAnsi="Times New Roman" w:eastAsia="楷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预警</w:t>
            </w:r>
          </w:p>
          <w:p w14:paraId="28CBDF5E">
            <w:pPr>
              <w:wordWrap w:val="0"/>
              <w:rPr>
                <w:rFonts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异常</w:t>
            </w:r>
          </w:p>
        </w:tc>
        <w:tc>
          <w:tcPr>
            <w:tcW w:w="2055" w:type="dxa"/>
            <w:vAlign w:val="center"/>
          </w:tcPr>
          <w:p w14:paraId="6D6F1ED7">
            <w:pPr>
              <w:wordWrap w:val="0"/>
              <w:rPr>
                <w:rFonts w:hint="eastAsia"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≥ 80%</w:t>
            </w:r>
          </w:p>
          <w:p w14:paraId="46EAC3EA">
            <w:pPr>
              <w:wordWrap w:val="0"/>
              <w:rPr>
                <w:rFonts w:hint="eastAsia"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70–79%</w:t>
            </w:r>
          </w:p>
          <w:p w14:paraId="37021863">
            <w:pPr>
              <w:wordWrap w:val="0"/>
              <w:rPr>
                <w:rFonts w:hint="eastAsia"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&lt; 70%</w:t>
            </w:r>
          </w:p>
        </w:tc>
        <w:tc>
          <w:tcPr>
            <w:tcW w:w="3449" w:type="dxa"/>
            <w:vAlign w:val="center"/>
          </w:tcPr>
          <w:p w14:paraId="5AFF14A4">
            <w:pPr>
              <w:wordWrap w:val="0"/>
              <w:rPr>
                <w:rFonts w:hint="eastAsia"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气道通畅，呼吸功能良好。</w:t>
            </w:r>
          </w:p>
          <w:p w14:paraId="73BF2E02">
            <w:pPr>
              <w:wordWrap w:val="0"/>
              <w:rPr>
                <w:rFonts w:hint="eastAsia"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呼气能力略下降，可能出现早期气道问题。</w:t>
            </w:r>
          </w:p>
          <w:p w14:paraId="3B6CEEC4">
            <w:pPr>
              <w:wordWrap w:val="0"/>
              <w:rPr>
                <w:rFonts w:hint="eastAsia"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气流受限明显，需关注呼吸系统健康。</w:t>
            </w:r>
          </w:p>
        </w:tc>
      </w:tr>
      <w:tr w14:paraId="31520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2332" w:type="dxa"/>
            <w:vAlign w:val="center"/>
          </w:tcPr>
          <w:p w14:paraId="314C3191">
            <w:pPr>
              <w:wordWrap w:val="0"/>
              <w:rPr>
                <w:rFonts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用力肺活量（FVC）</w:t>
            </w:r>
          </w:p>
        </w:tc>
        <w:tc>
          <w:tcPr>
            <w:tcW w:w="729" w:type="dxa"/>
            <w:vAlign w:val="center"/>
          </w:tcPr>
          <w:p w14:paraId="045B01C5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正常</w:t>
            </w:r>
          </w:p>
          <w:p w14:paraId="75291CB2">
            <w:pPr>
              <w:wordWrap w:val="0"/>
              <w:rPr>
                <w:rFonts w:hint="eastAsia" w:ascii="Times New Roman" w:hAnsi="Times New Roman" w:eastAsia="楷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预警</w:t>
            </w:r>
          </w:p>
          <w:p w14:paraId="47EDD080">
            <w:pPr>
              <w:wordWrap w:val="0"/>
              <w:rPr>
                <w:rFonts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异常</w:t>
            </w:r>
          </w:p>
        </w:tc>
        <w:tc>
          <w:tcPr>
            <w:tcW w:w="2055" w:type="dxa"/>
            <w:vAlign w:val="center"/>
          </w:tcPr>
          <w:p w14:paraId="470F20BD">
            <w:pPr>
              <w:wordWrap w:val="0"/>
              <w:rPr>
                <w:rFonts w:hint="eastAsia"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≥ 80%</w:t>
            </w:r>
          </w:p>
          <w:p w14:paraId="03AA0AB8">
            <w:pPr>
              <w:wordWrap w:val="0"/>
              <w:rPr>
                <w:rFonts w:hint="eastAsia"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70–79%</w:t>
            </w:r>
          </w:p>
          <w:p w14:paraId="28EECBF7">
            <w:pPr>
              <w:wordWrap w:val="0"/>
              <w:rPr>
                <w:rFonts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&lt; 70%</w:t>
            </w:r>
          </w:p>
        </w:tc>
        <w:tc>
          <w:tcPr>
            <w:tcW w:w="3449" w:type="dxa"/>
            <w:vAlign w:val="center"/>
          </w:tcPr>
          <w:p w14:paraId="412D6D6A">
            <w:pPr>
              <w:wordWrap w:val="0"/>
              <w:rPr>
                <w:rFonts w:hint="eastAsia"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肺容量稳定。</w:t>
            </w:r>
          </w:p>
          <w:p w14:paraId="41135BCA">
            <w:pPr>
              <w:wordWrap w:val="0"/>
              <w:rPr>
                <w:rFonts w:hint="eastAsia"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肺扩张能力略下降，需要关注呼吸状况。</w:t>
            </w:r>
          </w:p>
          <w:p w14:paraId="63131231">
            <w:pPr>
              <w:wordWrap w:val="0"/>
              <w:rPr>
                <w:rFonts w:hint="eastAsia"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肺容量不足，可能存在通气限制。</w:t>
            </w:r>
          </w:p>
        </w:tc>
      </w:tr>
      <w:tr w14:paraId="5CEE7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32" w:type="dxa"/>
            <w:vAlign w:val="center"/>
          </w:tcPr>
          <w:p w14:paraId="7FFCD2A3">
            <w:pPr>
              <w:wordWrap w:val="0"/>
              <w:rPr>
                <w:rFonts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呼气流量峰值（PEF）</w:t>
            </w:r>
          </w:p>
        </w:tc>
        <w:tc>
          <w:tcPr>
            <w:tcW w:w="729" w:type="dxa"/>
            <w:vAlign w:val="center"/>
          </w:tcPr>
          <w:p w14:paraId="56B0C227">
            <w:pPr>
              <w:wordWrap w:val="0"/>
              <w:rPr>
                <w:rFonts w:hint="eastAsia" w:ascii="Times New Roman" w:hAnsi="Times New Roman" w:eastAsia="楷体"/>
                <w:sz w:val="24"/>
              </w:rPr>
            </w:pPr>
            <w:r>
              <w:rPr>
                <w:rFonts w:hint="eastAsia" w:ascii="Times New Roman" w:hAnsi="Times New Roman" w:eastAsia="楷体"/>
                <w:sz w:val="24"/>
              </w:rPr>
              <w:t>正常</w:t>
            </w:r>
          </w:p>
          <w:p w14:paraId="58562DA6">
            <w:pPr>
              <w:wordWrap w:val="0"/>
              <w:rPr>
                <w:rFonts w:hint="eastAsia" w:ascii="Times New Roman" w:hAnsi="Times New Roman" w:eastAsia="楷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预警</w:t>
            </w:r>
          </w:p>
          <w:p w14:paraId="556BEC57">
            <w:pPr>
              <w:wordWrap w:val="0"/>
              <w:rPr>
                <w:rFonts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lang w:val="en-US" w:eastAsia="zh-CN"/>
              </w:rPr>
              <w:t>异常</w:t>
            </w:r>
          </w:p>
        </w:tc>
        <w:tc>
          <w:tcPr>
            <w:tcW w:w="2055" w:type="dxa"/>
            <w:vAlign w:val="center"/>
          </w:tcPr>
          <w:p w14:paraId="68971AE8">
            <w:pPr>
              <w:wordWrap w:val="0"/>
              <w:rPr>
                <w:rFonts w:hint="eastAsia"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≥ 80% 个人最佳值</w:t>
            </w:r>
          </w:p>
          <w:p w14:paraId="26F74E5B">
            <w:pPr>
              <w:wordWrap w:val="0"/>
              <w:rPr>
                <w:rFonts w:hint="eastAsia"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50–79% 个人最佳值</w:t>
            </w:r>
          </w:p>
          <w:p w14:paraId="7AAA25DB">
            <w:pPr>
              <w:wordWrap w:val="0"/>
              <w:rPr>
                <w:rFonts w:hint="eastAsia"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&lt; 50% 个人最佳值</w:t>
            </w:r>
          </w:p>
        </w:tc>
        <w:tc>
          <w:tcPr>
            <w:tcW w:w="3449" w:type="dxa"/>
            <w:vAlign w:val="center"/>
          </w:tcPr>
          <w:p w14:paraId="1DB4EAB1">
            <w:pPr>
              <w:wordWrap w:val="0"/>
              <w:rPr>
                <w:rFonts w:hint="eastAsia"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呼气速度良好。</w:t>
            </w:r>
          </w:p>
          <w:p w14:paraId="0736FECF">
            <w:pPr>
              <w:wordWrap w:val="0"/>
              <w:rPr>
                <w:rFonts w:hint="eastAsia"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气道通畅度下降，需注意趋势。</w:t>
            </w:r>
          </w:p>
          <w:p w14:paraId="47664079">
            <w:pPr>
              <w:wordWrap w:val="0"/>
              <w:rPr>
                <w:rFonts w:hint="eastAsia" w:ascii="Times New Roman" w:hAnsi="Times New Roman" w:eastAsia="楷体"/>
                <w:sz w:val="24"/>
                <w:highlight w:val="none"/>
              </w:rPr>
            </w:pPr>
            <w:r>
              <w:rPr>
                <w:rFonts w:hint="eastAsia" w:ascii="Times New Roman" w:hAnsi="Times New Roman" w:eastAsia="楷体"/>
                <w:sz w:val="24"/>
                <w:highlight w:val="none"/>
              </w:rPr>
              <w:t>呼气受限明显，需要及时处理。</w:t>
            </w:r>
          </w:p>
        </w:tc>
      </w:tr>
    </w:tbl>
    <w:p w14:paraId="48B569D8">
      <w:pPr>
        <w:wordWrap w:val="0"/>
        <w:rPr>
          <w:rFonts w:ascii="Times New Roman" w:hAnsi="Times New Roman" w:eastAsia="楷体"/>
          <w:sz w:val="24"/>
        </w:rPr>
      </w:pPr>
    </w:p>
    <w:p w14:paraId="0D99A9A2">
      <w:pPr>
        <w:numPr>
          <w:ilvl w:val="0"/>
          <w:numId w:val="23"/>
        </w:numPr>
        <w:ind w:left="0" w:leftChars="0" w:firstLine="0" w:firstLineChars="0"/>
        <w:jc w:val="both"/>
        <w:rPr>
          <w:rFonts w:hint="eastAsia" w:ascii="Times New Roman" w:hAnsi="Times New Roman" w:eastAsia="楷体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楷体"/>
          <w:b/>
          <w:bCs/>
          <w:sz w:val="24"/>
          <w:lang w:val="en-US" w:eastAsia="zh-CN"/>
        </w:rPr>
        <w:t>关联模型：肺部健康状态评估</w:t>
      </w:r>
    </w:p>
    <w:p w14:paraId="25280FD3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楷体"/>
          <w:b/>
          <w:bCs/>
          <w:sz w:val="24"/>
          <w:lang w:val="en-US" w:eastAsia="zh-CN"/>
        </w:rPr>
      </w:pPr>
    </w:p>
    <w:p w14:paraId="221E7982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/>
          <w:bCs/>
          <w:sz w:val="24"/>
          <w:lang w:val="en-US" w:eastAsia="zh-CN"/>
        </w:rPr>
        <w:t>4. 呼吸基础检测波动应对方案</w:t>
      </w:r>
    </w:p>
    <w:p w14:paraId="3753234B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·触发条件（满足任一即可推送本方案）：</w:t>
      </w:r>
    </w:p>
    <w:p w14:paraId="187D6DA8">
      <w:pPr>
        <w:numPr>
          <w:ilvl w:val="0"/>
          <w:numId w:val="24"/>
        </w:numPr>
        <w:ind w:left="0" w:leftChars="0" w:firstLine="400" w:firstLine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FEV1%（第一秒呼气量百分比）</w:t>
      </w:r>
    </w:p>
    <w:p w14:paraId="4BE2F1BF">
      <w:pPr>
        <w:numPr>
          <w:ilvl w:val="0"/>
          <w:numId w:val="0"/>
        </w:numPr>
        <w:ind w:leftChars="0" w:firstLine="720" w:firstLineChars="30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预警：70–79%</w:t>
      </w:r>
    </w:p>
    <w:p w14:paraId="036F10CE">
      <w:pPr>
        <w:numPr>
          <w:ilvl w:val="0"/>
          <w:numId w:val="24"/>
        </w:numPr>
        <w:ind w:left="0" w:leftChars="0" w:firstLine="400" w:firstLine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FVC（用力肺活量）</w:t>
      </w:r>
    </w:p>
    <w:p w14:paraId="794F9987">
      <w:pPr>
        <w:numPr>
          <w:ilvl w:val="0"/>
          <w:numId w:val="0"/>
        </w:numPr>
        <w:ind w:leftChars="0" w:firstLine="720" w:firstLineChars="30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预警：70–79%</w:t>
      </w:r>
    </w:p>
    <w:p w14:paraId="49815B64">
      <w:pPr>
        <w:numPr>
          <w:ilvl w:val="0"/>
          <w:numId w:val="24"/>
        </w:numPr>
        <w:ind w:left="0" w:leftChars="0" w:firstLine="400" w:firstLine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PEF（呼气流量峰值）</w:t>
      </w:r>
    </w:p>
    <w:p w14:paraId="289304DF">
      <w:pPr>
        <w:numPr>
          <w:ilvl w:val="0"/>
          <w:numId w:val="0"/>
        </w:numPr>
        <w:ind w:leftChars="0" w:firstLine="720" w:firstLineChars="30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预警：50–79% 个体最佳值</w:t>
      </w:r>
    </w:p>
    <w:p w14:paraId="594B2ADF">
      <w:pPr>
        <w:numPr>
          <w:ilvl w:val="0"/>
          <w:numId w:val="0"/>
        </w:numPr>
        <w:ind w:leftChars="0" w:firstLine="480" w:firstLineChars="20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说明：当前属于“轻度通气功能下降、可能出现早期气道限制或肺弹性下降”的阶段。</w:t>
      </w:r>
    </w:p>
    <w:p w14:paraId="0DDEE68B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</w:p>
    <w:p w14:paraId="6F214DAA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·具体方案：</w:t>
      </w:r>
    </w:p>
    <w:p w14:paraId="7D3B33A0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</w:p>
    <w:p w14:paraId="59B5B366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（1）营养补充建议</w:t>
      </w:r>
    </w:p>
    <w:p w14:paraId="0ACCCE74">
      <w:pPr>
        <w:numPr>
          <w:ilvl w:val="0"/>
          <w:numId w:val="25"/>
        </w:numPr>
        <w:ind w:left="0" w:leftChars="0" w:firstLine="0" w:firstLine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高抗氧化营养素（维生素C、维生素E、β-胡萝卜素）：减轻气道氧化压力。</w:t>
      </w:r>
    </w:p>
    <w:p w14:paraId="5541CB58">
      <w:pPr>
        <w:numPr>
          <w:ilvl w:val="0"/>
          <w:numId w:val="25"/>
        </w:numPr>
        <w:ind w:left="0" w:leftChars="0" w:firstLine="0" w:firstLine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Omega-3（EPA+DHA）：改善轻度气道炎症，支持肺功能。</w:t>
      </w:r>
    </w:p>
    <w:p w14:paraId="74A84839">
      <w:pPr>
        <w:numPr>
          <w:ilvl w:val="0"/>
          <w:numId w:val="25"/>
        </w:numPr>
        <w:ind w:left="0" w:leftChars="0" w:firstLine="0" w:firstLine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维生素D：支持呼吸道免疫与气道稳定度。</w:t>
      </w:r>
    </w:p>
    <w:p w14:paraId="11DE0DB2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</w:p>
    <w:p w14:paraId="45F04901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（2）饮食建议</w:t>
      </w:r>
    </w:p>
    <w:p w14:paraId="5374A497">
      <w:pPr>
        <w:numPr>
          <w:ilvl w:val="0"/>
          <w:numId w:val="26"/>
        </w:numPr>
        <w:ind w:left="0" w:leftChars="0" w:firstLine="0" w:firstLine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每日增加 1–2 份水果与深色蔬菜：提升抗氧化能力。</w:t>
      </w:r>
    </w:p>
    <w:p w14:paraId="45DE2278">
      <w:pPr>
        <w:numPr>
          <w:ilvl w:val="0"/>
          <w:numId w:val="26"/>
        </w:numPr>
        <w:ind w:left="0" w:leftChars="0" w:firstLine="0" w:firstLine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减少高油脂、高糖食品（会提升系统性炎症）。</w:t>
      </w:r>
    </w:p>
    <w:p w14:paraId="3A88B2EA">
      <w:pPr>
        <w:numPr>
          <w:ilvl w:val="0"/>
          <w:numId w:val="26"/>
        </w:numPr>
        <w:ind w:left="0" w:leftChars="0" w:firstLine="0" w:firstLine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减少乳制品摄入（部分人群可减少黏液感）。</w:t>
      </w:r>
    </w:p>
    <w:p w14:paraId="37D890D7">
      <w:pPr>
        <w:numPr>
          <w:ilvl w:val="0"/>
          <w:numId w:val="26"/>
        </w:numPr>
        <w:ind w:left="0" w:leftChars="0" w:firstLine="0" w:firstLine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增加富含 Omega-3 的食物：深海鱼类、亚麻籽、核桃。</w:t>
      </w:r>
    </w:p>
    <w:p w14:paraId="2EF69AD6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</w:p>
    <w:p w14:paraId="270B8D61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（3）生活方式建议</w:t>
      </w:r>
    </w:p>
    <w:p w14:paraId="7D09A81B">
      <w:pPr>
        <w:numPr>
          <w:ilvl w:val="0"/>
          <w:numId w:val="27"/>
        </w:numPr>
        <w:ind w:left="0" w:leftChars="0" w:firstLine="0" w:firstLine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每天 20 分钟轻度至中等强度运动（如快走）：促进肺部扩张与通气。</w:t>
      </w:r>
    </w:p>
    <w:p w14:paraId="5ACBED0C">
      <w:pPr>
        <w:numPr>
          <w:ilvl w:val="0"/>
          <w:numId w:val="27"/>
        </w:numPr>
        <w:ind w:left="0" w:leftChars="0" w:firstLine="0" w:firstLine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进行呼吸训练（缩唇呼吸、腹式呼吸 5 分钟）：改善肺泡通气。</w:t>
      </w:r>
    </w:p>
    <w:p w14:paraId="699351AF">
      <w:pPr>
        <w:numPr>
          <w:ilvl w:val="0"/>
          <w:numId w:val="27"/>
        </w:numPr>
        <w:ind w:left="0" w:leftChars="0" w:firstLine="0" w:firstLine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避免烟雾、粉尘、香水、油烟等刺激物：减少气道敏感。</w:t>
      </w:r>
    </w:p>
    <w:p w14:paraId="4DCB482A">
      <w:pPr>
        <w:numPr>
          <w:ilvl w:val="0"/>
          <w:numId w:val="27"/>
        </w:numPr>
        <w:ind w:left="0" w:leftChars="0" w:firstLine="0" w:firstLine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保持室内空气流通，可使用空气净化设备。</w:t>
      </w:r>
    </w:p>
    <w:p w14:paraId="14785D27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</w:p>
    <w:p w14:paraId="1A7660D8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（4）定期监测建议</w:t>
      </w:r>
    </w:p>
    <w:p w14:paraId="3563EA18">
      <w:pPr>
        <w:numPr>
          <w:ilvl w:val="0"/>
          <w:numId w:val="28"/>
        </w:numPr>
        <w:ind w:left="0" w:leftChars="0" w:firstLine="0" w:firstLine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每周复测 1–2 次呼吸功能（FEV1%/PEF 任选其一），观察是否回到 ≥80% 区间。</w:t>
      </w:r>
    </w:p>
    <w:p w14:paraId="299AB0AA">
      <w:pPr>
        <w:numPr>
          <w:ilvl w:val="0"/>
          <w:numId w:val="28"/>
        </w:numPr>
        <w:ind w:left="0" w:leftChars="0" w:firstLine="0" w:firstLine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若连续两周仍处于预警区 → 建议升级至“呼吸系统慢病风险评估（含 NO、VOC）”。</w:t>
      </w:r>
    </w:p>
    <w:p w14:paraId="7EA60205">
      <w:pPr>
        <w:numPr>
          <w:ilvl w:val="0"/>
          <w:numId w:val="28"/>
        </w:numPr>
        <w:ind w:left="0" w:leftChars="0" w:firstLine="0" w:firstLine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如出现明显气短、胸闷、持续咳嗽 → 建议进一步医学评估。</w:t>
      </w:r>
    </w:p>
    <w:p w14:paraId="0EF1CE27">
      <w:pPr>
        <w:numPr>
          <w:ilvl w:val="0"/>
          <w:numId w:val="28"/>
        </w:numPr>
        <w:ind w:left="0" w:leftChars="0" w:firstLine="0" w:firstLineChars="0"/>
        <w:jc w:val="both"/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楷体"/>
          <w:b w:val="0"/>
          <w:bCs w:val="0"/>
          <w:sz w:val="24"/>
          <w:lang w:val="en-US" w:eastAsia="zh-CN"/>
        </w:rPr>
        <w:t>尽量在固定时间段测量（早晨）。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7098A6"/>
    <w:multiLevelType w:val="singleLevel"/>
    <w:tmpl w:val="937098A6"/>
    <w:lvl w:ilvl="0" w:tentative="0">
      <w:start w:val="1"/>
      <w:numFmt w:val="decimalEnclosedCircleChinese"/>
      <w:suff w:val="nothing"/>
      <w:lvlText w:val="%1　"/>
      <w:lvlJc w:val="left"/>
      <w:pPr>
        <w:ind w:left="0" w:firstLine="0"/>
      </w:pPr>
      <w:rPr>
        <w:rFonts w:hint="eastAsia"/>
      </w:rPr>
    </w:lvl>
  </w:abstractNum>
  <w:abstractNum w:abstractNumId="1">
    <w:nsid w:val="9774E9F3"/>
    <w:multiLevelType w:val="singleLevel"/>
    <w:tmpl w:val="9774E9F3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9A219880"/>
    <w:multiLevelType w:val="singleLevel"/>
    <w:tmpl w:val="9A219880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A8C4EBA6"/>
    <w:multiLevelType w:val="singleLevel"/>
    <w:tmpl w:val="A8C4EBA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B5D0DEFF"/>
    <w:multiLevelType w:val="singleLevel"/>
    <w:tmpl w:val="B5D0DEFF"/>
    <w:lvl w:ilvl="0" w:tentative="0">
      <w:start w:val="3"/>
      <w:numFmt w:val="decimal"/>
      <w:suff w:val="space"/>
      <w:lvlText w:val="%1."/>
      <w:lvlJc w:val="left"/>
    </w:lvl>
  </w:abstractNum>
  <w:abstractNum w:abstractNumId="5">
    <w:nsid w:val="B7AA0F6F"/>
    <w:multiLevelType w:val="singleLevel"/>
    <w:tmpl w:val="B7AA0F6F"/>
    <w:lvl w:ilvl="0" w:tentative="0">
      <w:start w:val="1"/>
      <w:numFmt w:val="decimalEnclosedCircleChinese"/>
      <w:suff w:val="nothing"/>
      <w:lvlText w:val="%1　"/>
      <w:lvlJc w:val="left"/>
      <w:pPr>
        <w:ind w:left="0" w:firstLine="0"/>
      </w:pPr>
      <w:rPr>
        <w:rFonts w:hint="eastAsia"/>
      </w:rPr>
    </w:lvl>
  </w:abstractNum>
  <w:abstractNum w:abstractNumId="6">
    <w:nsid w:val="BA599FC9"/>
    <w:multiLevelType w:val="singleLevel"/>
    <w:tmpl w:val="BA599FC9"/>
    <w:lvl w:ilvl="0" w:tentative="0">
      <w:start w:val="1"/>
      <w:numFmt w:val="decimalEnclosedCircleChinese"/>
      <w:suff w:val="nothing"/>
      <w:lvlText w:val="%1　"/>
      <w:lvlJc w:val="left"/>
      <w:pPr>
        <w:ind w:left="0" w:firstLine="0"/>
      </w:pPr>
      <w:rPr>
        <w:rFonts w:hint="eastAsia"/>
      </w:rPr>
    </w:lvl>
  </w:abstractNum>
  <w:abstractNum w:abstractNumId="7">
    <w:nsid w:val="CD05A121"/>
    <w:multiLevelType w:val="singleLevel"/>
    <w:tmpl w:val="CD05A121"/>
    <w:lvl w:ilvl="0" w:tentative="0">
      <w:start w:val="1"/>
      <w:numFmt w:val="decimalEnclosedCircleChinese"/>
      <w:suff w:val="nothing"/>
      <w:lvlText w:val="%1　"/>
      <w:lvlJc w:val="left"/>
      <w:pPr>
        <w:ind w:left="0" w:firstLine="0"/>
      </w:pPr>
      <w:rPr>
        <w:rFonts w:hint="eastAsia"/>
      </w:rPr>
    </w:lvl>
  </w:abstractNum>
  <w:abstractNum w:abstractNumId="8">
    <w:nsid w:val="D7026FE3"/>
    <w:multiLevelType w:val="singleLevel"/>
    <w:tmpl w:val="D7026FE3"/>
    <w:lvl w:ilvl="0" w:tentative="0">
      <w:start w:val="1"/>
      <w:numFmt w:val="decimalEnclosedCircleChinese"/>
      <w:suff w:val="nothing"/>
      <w:lvlText w:val="%1　"/>
      <w:lvlJc w:val="left"/>
      <w:pPr>
        <w:ind w:left="0" w:firstLine="0"/>
      </w:pPr>
      <w:rPr>
        <w:rFonts w:hint="eastAsia"/>
        <w:sz w:val="22"/>
        <w:szCs w:val="22"/>
      </w:rPr>
    </w:lvl>
  </w:abstractNum>
  <w:abstractNum w:abstractNumId="9">
    <w:nsid w:val="DB2944E6"/>
    <w:multiLevelType w:val="singleLevel"/>
    <w:tmpl w:val="DB2944E6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ED2AE38C"/>
    <w:multiLevelType w:val="singleLevel"/>
    <w:tmpl w:val="ED2AE38C"/>
    <w:lvl w:ilvl="0" w:tentative="0">
      <w:start w:val="1"/>
      <w:numFmt w:val="decimalEnclosedCircleChinese"/>
      <w:suff w:val="nothing"/>
      <w:lvlText w:val="%1　"/>
      <w:lvlJc w:val="left"/>
      <w:pPr>
        <w:ind w:left="0" w:firstLine="0"/>
      </w:pPr>
      <w:rPr>
        <w:rFonts w:hint="eastAsia"/>
      </w:rPr>
    </w:lvl>
  </w:abstractNum>
  <w:abstractNum w:abstractNumId="11">
    <w:nsid w:val="F55BFBC8"/>
    <w:multiLevelType w:val="singleLevel"/>
    <w:tmpl w:val="F55BFBC8"/>
    <w:lvl w:ilvl="0" w:tentative="0">
      <w:start w:val="1"/>
      <w:numFmt w:val="decimalEnclosedCircleChinese"/>
      <w:suff w:val="nothing"/>
      <w:lvlText w:val="%1　"/>
      <w:lvlJc w:val="left"/>
      <w:pPr>
        <w:ind w:left="0" w:firstLine="0"/>
      </w:pPr>
      <w:rPr>
        <w:rFonts w:hint="eastAsia"/>
      </w:rPr>
    </w:lvl>
  </w:abstractNum>
  <w:abstractNum w:abstractNumId="12">
    <w:nsid w:val="F60F5A7C"/>
    <w:multiLevelType w:val="singleLevel"/>
    <w:tmpl w:val="F60F5A7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>
    <w:nsid w:val="FFCA76B8"/>
    <w:multiLevelType w:val="singleLevel"/>
    <w:tmpl w:val="FFCA76B8"/>
    <w:lvl w:ilvl="0" w:tentative="0">
      <w:start w:val="1"/>
      <w:numFmt w:val="decimalEnclosedCircleChinese"/>
      <w:suff w:val="nothing"/>
      <w:lvlText w:val="%1　"/>
      <w:lvlJc w:val="left"/>
      <w:pPr>
        <w:ind w:left="0" w:firstLine="0"/>
      </w:pPr>
      <w:rPr>
        <w:rFonts w:hint="eastAsia"/>
      </w:rPr>
    </w:lvl>
  </w:abstractNum>
  <w:abstractNum w:abstractNumId="14">
    <w:nsid w:val="1035A834"/>
    <w:multiLevelType w:val="singleLevel"/>
    <w:tmpl w:val="1035A834"/>
    <w:lvl w:ilvl="0" w:tentative="0">
      <w:start w:val="1"/>
      <w:numFmt w:val="decimalEnclosedCircleChinese"/>
      <w:suff w:val="nothing"/>
      <w:lvlText w:val="%1　"/>
      <w:lvlJc w:val="left"/>
      <w:pPr>
        <w:ind w:left="0" w:firstLine="0"/>
      </w:pPr>
      <w:rPr>
        <w:rFonts w:hint="eastAsia"/>
      </w:rPr>
    </w:lvl>
  </w:abstractNum>
  <w:abstractNum w:abstractNumId="15">
    <w:nsid w:val="122D8AD1"/>
    <w:multiLevelType w:val="singleLevel"/>
    <w:tmpl w:val="122D8AD1"/>
    <w:lvl w:ilvl="0" w:tentative="0">
      <w:start w:val="3"/>
      <w:numFmt w:val="decimal"/>
      <w:suff w:val="space"/>
      <w:lvlText w:val="%1."/>
      <w:lvlJc w:val="left"/>
      <w:rPr>
        <w:rFonts w:hint="default"/>
        <w:sz w:val="24"/>
        <w:szCs w:val="24"/>
      </w:rPr>
    </w:lvl>
  </w:abstractNum>
  <w:abstractNum w:abstractNumId="16">
    <w:nsid w:val="14E2782D"/>
    <w:multiLevelType w:val="singleLevel"/>
    <w:tmpl w:val="14E2782D"/>
    <w:lvl w:ilvl="0" w:tentative="0">
      <w:start w:val="2"/>
      <w:numFmt w:val="decimal"/>
      <w:suff w:val="space"/>
      <w:lvlText w:val="%1."/>
      <w:lvlJc w:val="left"/>
    </w:lvl>
  </w:abstractNum>
  <w:abstractNum w:abstractNumId="17">
    <w:nsid w:val="202BB99C"/>
    <w:multiLevelType w:val="singleLevel"/>
    <w:tmpl w:val="202BB99C"/>
    <w:lvl w:ilvl="0" w:tentative="0">
      <w:start w:val="3"/>
      <w:numFmt w:val="decimal"/>
      <w:suff w:val="space"/>
      <w:lvlText w:val="%1."/>
      <w:lvlJc w:val="left"/>
    </w:lvl>
  </w:abstractNum>
  <w:abstractNum w:abstractNumId="18">
    <w:nsid w:val="2C71E894"/>
    <w:multiLevelType w:val="singleLevel"/>
    <w:tmpl w:val="2C71E89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9">
    <w:nsid w:val="3207328E"/>
    <w:multiLevelType w:val="singleLevel"/>
    <w:tmpl w:val="3207328E"/>
    <w:lvl w:ilvl="0" w:tentative="0">
      <w:start w:val="1"/>
      <w:numFmt w:val="decimalEnclosedCircleChinese"/>
      <w:suff w:val="nothing"/>
      <w:lvlText w:val="%1　"/>
      <w:lvlJc w:val="left"/>
      <w:pPr>
        <w:ind w:left="0" w:firstLine="0"/>
      </w:pPr>
      <w:rPr>
        <w:rFonts w:hint="eastAsia"/>
      </w:rPr>
    </w:lvl>
  </w:abstractNum>
  <w:abstractNum w:abstractNumId="20">
    <w:nsid w:val="3491BDC9"/>
    <w:multiLevelType w:val="singleLevel"/>
    <w:tmpl w:val="3491BDC9"/>
    <w:lvl w:ilvl="0" w:tentative="0">
      <w:start w:val="2"/>
      <w:numFmt w:val="decimal"/>
      <w:suff w:val="nothing"/>
      <w:lvlText w:val="（%1）"/>
      <w:lvlJc w:val="left"/>
    </w:lvl>
  </w:abstractNum>
  <w:abstractNum w:abstractNumId="21">
    <w:nsid w:val="3A52DE95"/>
    <w:multiLevelType w:val="singleLevel"/>
    <w:tmpl w:val="3A52DE95"/>
    <w:lvl w:ilvl="0" w:tentative="0">
      <w:start w:val="1"/>
      <w:numFmt w:val="decimalEnclosedCircleChinese"/>
      <w:suff w:val="nothing"/>
      <w:lvlText w:val="%1　"/>
      <w:lvlJc w:val="left"/>
      <w:pPr>
        <w:ind w:left="0" w:firstLine="0"/>
      </w:pPr>
      <w:rPr>
        <w:rFonts w:hint="eastAsia"/>
      </w:rPr>
    </w:lvl>
  </w:abstractNum>
  <w:abstractNum w:abstractNumId="22">
    <w:nsid w:val="42403B77"/>
    <w:multiLevelType w:val="singleLevel"/>
    <w:tmpl w:val="42403B7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3">
    <w:nsid w:val="523F5D05"/>
    <w:multiLevelType w:val="singleLevel"/>
    <w:tmpl w:val="523F5D05"/>
    <w:lvl w:ilvl="0" w:tentative="0">
      <w:start w:val="1"/>
      <w:numFmt w:val="decimalEnclosedCircleChinese"/>
      <w:suff w:val="nothing"/>
      <w:lvlText w:val="%1　"/>
      <w:lvlJc w:val="left"/>
      <w:pPr>
        <w:ind w:left="0" w:firstLine="0"/>
      </w:pPr>
      <w:rPr>
        <w:rFonts w:hint="eastAsia"/>
      </w:rPr>
    </w:lvl>
  </w:abstractNum>
  <w:abstractNum w:abstractNumId="24">
    <w:nsid w:val="57A547A3"/>
    <w:multiLevelType w:val="singleLevel"/>
    <w:tmpl w:val="57A547A3"/>
    <w:lvl w:ilvl="0" w:tentative="0">
      <w:start w:val="1"/>
      <w:numFmt w:val="decimalEnclosedCircleChinese"/>
      <w:suff w:val="nothing"/>
      <w:lvlText w:val="%1　"/>
      <w:lvlJc w:val="left"/>
      <w:pPr>
        <w:ind w:left="0" w:firstLine="0"/>
      </w:pPr>
      <w:rPr>
        <w:rFonts w:hint="eastAsia"/>
      </w:rPr>
    </w:lvl>
  </w:abstractNum>
  <w:abstractNum w:abstractNumId="25">
    <w:nsid w:val="61908184"/>
    <w:multiLevelType w:val="singleLevel"/>
    <w:tmpl w:val="61908184"/>
    <w:lvl w:ilvl="0" w:tentative="0">
      <w:start w:val="1"/>
      <w:numFmt w:val="decimalEnclosedCircleChinese"/>
      <w:suff w:val="nothing"/>
      <w:lvlText w:val="%1　"/>
      <w:lvlJc w:val="left"/>
      <w:pPr>
        <w:ind w:left="0" w:firstLine="0"/>
      </w:pPr>
      <w:rPr>
        <w:rFonts w:hint="eastAsia"/>
      </w:rPr>
    </w:lvl>
  </w:abstractNum>
  <w:abstractNum w:abstractNumId="26">
    <w:nsid w:val="6835293E"/>
    <w:multiLevelType w:val="singleLevel"/>
    <w:tmpl w:val="6835293E"/>
    <w:lvl w:ilvl="0" w:tentative="0">
      <w:start w:val="1"/>
      <w:numFmt w:val="decimalEnclosedCircleChinese"/>
      <w:suff w:val="nothing"/>
      <w:lvlText w:val="%1　"/>
      <w:lvlJc w:val="left"/>
      <w:pPr>
        <w:ind w:left="0" w:firstLine="0"/>
      </w:pPr>
      <w:rPr>
        <w:rFonts w:hint="eastAsia"/>
      </w:rPr>
    </w:lvl>
  </w:abstractNum>
  <w:abstractNum w:abstractNumId="27">
    <w:nsid w:val="79CF2691"/>
    <w:multiLevelType w:val="singleLevel"/>
    <w:tmpl w:val="79CF2691"/>
    <w:lvl w:ilvl="0" w:tentative="0">
      <w:start w:val="1"/>
      <w:numFmt w:val="decimalEnclosedCircleChinese"/>
      <w:suff w:val="nothing"/>
      <w:lvlText w:val="%1　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17"/>
  </w:num>
  <w:num w:numId="3">
    <w:abstractNumId w:val="12"/>
  </w:num>
  <w:num w:numId="4">
    <w:abstractNumId w:val="14"/>
  </w:num>
  <w:num w:numId="5">
    <w:abstractNumId w:val="7"/>
  </w:num>
  <w:num w:numId="6">
    <w:abstractNumId w:val="26"/>
  </w:num>
  <w:num w:numId="7">
    <w:abstractNumId w:val="5"/>
  </w:num>
  <w:num w:numId="8">
    <w:abstractNumId w:val="20"/>
  </w:num>
  <w:num w:numId="9">
    <w:abstractNumId w:val="9"/>
  </w:num>
  <w:num w:numId="10">
    <w:abstractNumId w:val="3"/>
  </w:num>
  <w:num w:numId="11">
    <w:abstractNumId w:val="0"/>
  </w:num>
  <w:num w:numId="12">
    <w:abstractNumId w:val="11"/>
  </w:num>
  <w:num w:numId="13">
    <w:abstractNumId w:val="6"/>
  </w:num>
  <w:num w:numId="14">
    <w:abstractNumId w:val="19"/>
  </w:num>
  <w:num w:numId="15">
    <w:abstractNumId w:val="2"/>
  </w:num>
  <w:num w:numId="16">
    <w:abstractNumId w:val="16"/>
  </w:num>
  <w:num w:numId="17">
    <w:abstractNumId w:val="15"/>
  </w:num>
  <w:num w:numId="18">
    <w:abstractNumId w:val="18"/>
  </w:num>
  <w:num w:numId="19">
    <w:abstractNumId w:val="24"/>
  </w:num>
  <w:num w:numId="20">
    <w:abstractNumId w:val="13"/>
  </w:num>
  <w:num w:numId="21">
    <w:abstractNumId w:val="27"/>
  </w:num>
  <w:num w:numId="22">
    <w:abstractNumId w:val="8"/>
  </w:num>
  <w:num w:numId="23">
    <w:abstractNumId w:val="4"/>
  </w:num>
  <w:num w:numId="24">
    <w:abstractNumId w:val="22"/>
  </w:num>
  <w:num w:numId="25">
    <w:abstractNumId w:val="10"/>
  </w:num>
  <w:num w:numId="26">
    <w:abstractNumId w:val="23"/>
  </w:num>
  <w:num w:numId="27">
    <w:abstractNumId w:val="21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181F95"/>
    <w:rsid w:val="00325B27"/>
    <w:rsid w:val="004F49E5"/>
    <w:rsid w:val="00542BEE"/>
    <w:rsid w:val="00576610"/>
    <w:rsid w:val="008574C5"/>
    <w:rsid w:val="00AC1BE7"/>
    <w:rsid w:val="00B92EE8"/>
    <w:rsid w:val="017F4233"/>
    <w:rsid w:val="0351317A"/>
    <w:rsid w:val="0C932D42"/>
    <w:rsid w:val="0E4F55E0"/>
    <w:rsid w:val="104B6012"/>
    <w:rsid w:val="16181F95"/>
    <w:rsid w:val="1AA80E44"/>
    <w:rsid w:val="23E57D8C"/>
    <w:rsid w:val="31B1462B"/>
    <w:rsid w:val="3AB700BB"/>
    <w:rsid w:val="3EA60F31"/>
    <w:rsid w:val="45A71B75"/>
    <w:rsid w:val="504273BB"/>
    <w:rsid w:val="53450CAD"/>
    <w:rsid w:val="5BBC0D9B"/>
    <w:rsid w:val="77E54DAC"/>
    <w:rsid w:val="790A78E2"/>
    <w:rsid w:val="7CFC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2437</Words>
  <Characters>2800</Characters>
  <Lines>18</Lines>
  <Paragraphs>5</Paragraphs>
  <TotalTime>0</TotalTime>
  <ScaleCrop>false</ScaleCrop>
  <LinksUpToDate>false</LinksUpToDate>
  <CharactersWithSpaces>2938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2025-11-24T15:48:00Z</dcterms:created>
  <dc:creator>？？？</dc:creator>
  <cp:lastModifiedBy>122022010216</cp:lastModifiedBy>
  <cp:lastPrinted>2025-11-25T05:02:00Z</cp:lastPrinted>
  <dcterms:modified xsi:type="dcterms:W3CDTF">2025-12-15T03:01:11Z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7170AF2B21BA4981BD5CF05B3F138FF8_13</vt:lpwstr>
  </property>
  <property fmtid="{D5CDD505-2E9C-101B-9397-08002B2CF9AE}" pid="4" name="KSOTemplateDocerSaveRecord">
    <vt:lpwstr>eyJoZGlkIjoiNDhlMzY0ZWE2OGFkZmVmNTljZjI2NDNiNjY0MzQ1NmQiLCJ1c2VySWQiOiIxNDgwNzA2Njc3In0=</vt:lpwstr>
  </property>
</Properties>
</file>