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912C">
      <w:pPr>
        <w:jc w:val="center"/>
        <w:rPr>
          <w:rFonts w:hint="default" w:ascii="Times New Roman" w:hAnsi="Times New Roman" w:eastAsia="楷体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30"/>
          <w:szCs w:val="30"/>
        </w:rPr>
        <w:t>预防干预方向</w:t>
      </w:r>
      <w:r>
        <w:rPr>
          <w:rFonts w:hint="eastAsia" w:ascii="Times New Roman" w:hAnsi="Times New Roman" w:eastAsia="楷体"/>
          <w:b/>
          <w:bCs/>
          <w:sz w:val="30"/>
          <w:szCs w:val="30"/>
          <w:lang w:val="en-US" w:eastAsia="zh-CN"/>
        </w:rPr>
        <w:t>指标和方案</w:t>
      </w:r>
    </w:p>
    <w:p w14:paraId="4B65EF1C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一</w:t>
      </w:r>
      <w:r>
        <w:rPr>
          <w:rFonts w:ascii="Times New Roman" w:hAnsi="Times New Roman" w:eastAsia="楷体"/>
          <w:sz w:val="28"/>
          <w:szCs w:val="28"/>
        </w:rPr>
        <w:t>、</w:t>
      </w:r>
      <w:r>
        <w:rPr>
          <w:rFonts w:hint="eastAsia" w:ascii="Times New Roman" w:hAnsi="Times New Roman" w:eastAsia="楷体"/>
          <w:sz w:val="28"/>
          <w:szCs w:val="28"/>
        </w:rPr>
        <w:t>核心</w:t>
      </w:r>
      <w:r>
        <w:rPr>
          <w:rFonts w:ascii="Times New Roman" w:hAnsi="Times New Roman" w:eastAsia="楷体"/>
          <w:sz w:val="28"/>
          <w:szCs w:val="28"/>
        </w:rPr>
        <w:t>体液与代谢监测</w:t>
      </w:r>
    </w:p>
    <w:p w14:paraId="14955EB4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（一）心血管与代谢负荷状态</w:t>
      </w:r>
      <w:bookmarkStart w:id="2" w:name="_GoBack"/>
      <w:bookmarkEnd w:id="2"/>
    </w:p>
    <w:p w14:paraId="71A2D94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bookmarkStart w:id="0" w:name="_Hlk215171591"/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31B0903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低密度脂蛋白胆固醇（LDL-C）</w:t>
      </w:r>
    </w:p>
    <w:p w14:paraId="6490198B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高密度脂蛋白胆固醇（HDL-C）</w:t>
      </w:r>
    </w:p>
    <w:p w14:paraId="6F2A0BC1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甘油三酯（TG）</w:t>
      </w:r>
    </w:p>
    <w:p w14:paraId="0E442CF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总胆固醇（TC）</w:t>
      </w:r>
    </w:p>
    <w:p w14:paraId="0BF06C01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空腹血糖（FPG）</w:t>
      </w:r>
    </w:p>
    <w:p w14:paraId="22D99503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空腹胰岛素（FINS）</w:t>
      </w:r>
    </w:p>
    <w:p w14:paraId="33D351F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 xml:space="preserve">收缩压（SBP） </w:t>
      </w:r>
    </w:p>
    <w:p w14:paraId="157D126F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舒张压（DBP）</w:t>
      </w:r>
    </w:p>
    <w:p w14:paraId="585C7EB5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静息心率</w:t>
      </w:r>
    </w:p>
    <w:p w14:paraId="3810357A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最大摄氧量估计（VO₂max）</w:t>
      </w:r>
    </w:p>
    <w:p w14:paraId="7901ABEC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</w:t>
      </w:r>
    </w:p>
    <w:p w14:paraId="31EAEFF5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血尿酸</w:t>
      </w:r>
    </w:p>
    <w:p w14:paraId="79E06E57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关联模型：中国成年人心血管疾病的10年发生心血管风险</w:t>
      </w:r>
    </w:p>
    <w:p w14:paraId="073913CB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 w:cs="Times New Roman"/>
          <w:szCs w:val="21"/>
        </w:rPr>
        <w:t>注：高亮为已完成产品，下同</w:t>
      </w:r>
    </w:p>
    <w:p w14:paraId="31F5EB47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3B01C80D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血脂系统（低密度脂蛋白胆固醇（LDL-C）、高密度脂蛋白胆固醇（HDL-C）、甘油三酯（TG）、总胆固醇（TC））</w:t>
      </w:r>
    </w:p>
    <w:p w14:paraId="428CDAED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糖代谢 / 尿酸系统（空腹血糖（FPG）、空腹胰岛素（FINS））</w:t>
      </w:r>
    </w:p>
    <w:p w14:paraId="6E11841C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心血管功能系统（收缩压（SBP）、舒张压（DBP）、静息心率、最大摄氧量估计（VO₂max）、运动后心率恢复（HRR））</w:t>
      </w:r>
    </w:p>
    <w:p w14:paraId="0938EAB8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所有指标均处于正常范围→不触发</w:t>
      </w:r>
    </w:p>
    <w:p w14:paraId="7D968197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当异常的指标同时处于一个系统时→触发方案</w:t>
      </w:r>
    </w:p>
    <w:p w14:paraId="57A1DF06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 xml:space="preserve">当异常的指标同时处于≥2个系统时→不触发，提示：建议就医，进行专业评估  </w:t>
      </w:r>
    </w:p>
    <w:p w14:paraId="2A2D89A7">
      <w:pPr>
        <w:wordWrap w:val="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</w:t>
      </w:r>
      <w:r>
        <w:rPr>
          <w:rFonts w:hint="eastAsia" w:ascii="Times New Roman" w:hAnsi="Times New Roman" w:eastAsia="楷体"/>
          <w:sz w:val="24"/>
        </w:rPr>
        <w:t>：</w:t>
      </w:r>
    </w:p>
    <w:p w14:paraId="2522A0F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45FE94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DHA）：有助于改善血脂结构、降低甘油三酯水平，并支持血管内皮功能稳定。</w:t>
      </w:r>
    </w:p>
    <w:p w14:paraId="2AC3E38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（2）镁</w:t>
      </w:r>
      <w:r>
        <w:rPr>
          <w:rFonts w:ascii="Times New Roman" w:hAnsi="Times New Roman" w:eastAsia="楷体" w:cs="Times New Roman"/>
          <w:sz w:val="24"/>
        </w:rPr>
        <w:t>（柠檬酸镁/甘氨酸镁）</w:t>
      </w:r>
      <w:r>
        <w:rPr>
          <w:rFonts w:hint="eastAsia" w:ascii="Times New Roman" w:hAnsi="Times New Roman" w:eastAsia="楷体"/>
          <w:sz w:val="24"/>
        </w:rPr>
        <w:t>：参与血管舒张、能量代谢与神经调节，有助于支持血压控制与胰岛素敏感性。</w:t>
      </w:r>
    </w:p>
    <w:p w14:paraId="3D0BEA0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（3）可溶性膳食纤维（如洋车前子壳）：有助于降低胆固醇吸收、改善餐后血糖反应并支持肠道代谢环境。</w:t>
      </w:r>
    </w:p>
    <w:p w14:paraId="1A10E06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318B0E6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（1）身体活动：每周≥150 分钟中等强度活动，例如：快走、骑车、游泳；每天至少一次10–30分钟连续活动。</w:t>
      </w:r>
    </w:p>
    <w:p w14:paraId="5883865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（2）避免久坐：连续坐≥1小时，起身活动3–5分钟</w:t>
      </w:r>
    </w:p>
    <w:p w14:paraId="2F75AEC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（3）睡眠与作息，建议睡眠时长：7–8 小时/晚，固定入睡与起床时间，睡前1小时避免强刺激（屏幕、剧烈运动）。</w:t>
      </w:r>
    </w:p>
    <w:p w14:paraId="435B720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（4）压力与恢复管理，每日安排5–10 分钟放松练习（深呼吸、拉伸、冥想均可），长期高压状态下，优先改善睡眠与活动。</w:t>
      </w:r>
    </w:p>
    <w:p w14:paraId="62C6737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4C2EFA2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（1）以“地中海式饮食结构”为基础，每餐包含：蔬菜 + 优质蛋白 + 全谷物或豆类；主要脂肪来源：橄榄油、坚果、深海鱼。</w:t>
      </w:r>
    </w:p>
    <w:p w14:paraId="786BFED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（2）控制精制碳水与添加糖，减少：白米饭、白面制品、含糖饮料、甜点；替换：糙米、燕麦、全麦、豆类。</w:t>
      </w:r>
    </w:p>
    <w:p w14:paraId="5B55D3E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（3）限制高盐与高度加工食品，尽量少吃：腌制品、加工肉类、即食零食；家庭烹饪以清淡为主，保持稳定进食节律。</w:t>
      </w:r>
    </w:p>
    <w:p w14:paraId="3BA0CC0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（4）尽量固定三餐时间，避免频繁夜宵和暴饮暴食。</w:t>
      </w:r>
    </w:p>
    <w:p w14:paraId="23DA446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6493AD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（1）建议检测节律：首次触发干预后：8–12 周复测。</w:t>
      </w:r>
    </w:p>
    <w:p w14:paraId="0F0DE44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（2）若指标趋于稳定：每3–6个月复测一次。</w:t>
      </w:r>
    </w:p>
    <w:p w14:paraId="386B8C3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/>
          <w:sz w:val="24"/>
        </w:rPr>
        <w:t>（3）若多项指标持续偏离：建议在干预同时咨询专业医疗人员。</w:t>
      </w:r>
    </w:p>
    <w:bookmarkEnd w:id="0"/>
    <w:p w14:paraId="786079A7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67DC10E9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（二）肾脏过滤与排泄状态</w:t>
      </w:r>
    </w:p>
    <w:p w14:paraId="2126D0C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73F2EEB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血清肌酐（SCr）</w:t>
      </w:r>
    </w:p>
    <w:p w14:paraId="67C1ED1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尿肌酐</w:t>
      </w:r>
    </w:p>
    <w:p w14:paraId="67ABCE4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尿白蛋白-肌酐比（UACR）</w:t>
      </w:r>
    </w:p>
    <w:p w14:paraId="3359AF9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尿蛋白</w:t>
      </w:r>
    </w:p>
    <w:p w14:paraId="2334C43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24 小时尿量</w:t>
      </w:r>
    </w:p>
    <w:p w14:paraId="52FCCAF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尿比重（SG）</w:t>
      </w:r>
    </w:p>
    <w:p w14:paraId="5ABB97F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尿酸碱度（尿 pH）</w:t>
      </w:r>
    </w:p>
    <w:p w14:paraId="2F221472">
      <w:pPr>
        <w:wordWrap w:val="0"/>
        <w:rPr>
          <w:rFonts w:ascii="Times New Roman" w:hAnsi="Times New Roman" w:eastAsia="楷体"/>
          <w:b/>
          <w:bCs/>
          <w:sz w:val="24"/>
          <w:highlight w:val="yellow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49773474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36359C72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5C0B1DD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尿肌酐、24 小时尿量、尿比重（SG）、尿酸碱度（尿 pH）异常→触发方案</w:t>
      </w:r>
    </w:p>
    <w:p w14:paraId="0179B6A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血清肌酐，尿白蛋白-肌酐比（UACR），尿蛋白中任一指标异常→不触发，提示：建议就医，进行专业评估</w:t>
      </w:r>
    </w:p>
    <w:p w14:paraId="41BF9628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6E7E2D7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752BD02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（1）Omega-3 脂肪酸（EPA / DHA）：有助于改善肾脏微循环环境，降低低度炎症与氧化应激水平，从而支持肾小球过滤功能的长期稳定。</w:t>
      </w:r>
    </w:p>
    <w:p w14:paraId="7338A79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（2）镁（柠檬酸镁 / 甘氨酸镁）：参与体液、电解质与酸碱平衡调节，有助于减轻肾脏排泄负荷并支持能量代谢过程。</w:t>
      </w:r>
    </w:p>
    <w:p w14:paraId="7A57410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（3）N-乙酰半胱氨酸（NAC）：作为谷胱甘肽合成相关支持营养素，有助于缓解氧化应激负担并支持细胞抗氧化防御体系。</w:t>
      </w:r>
    </w:p>
    <w:p w14:paraId="49B961A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6690448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（1）身体活动：每周≥150 分钟中等强度活动，例如：快走、骑车、游泳；避免高强度、易脱水的运动方式。</w:t>
      </w:r>
    </w:p>
    <w:p w14:paraId="3DF1906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（2）避免久坐：连续坐≥1小时，起身活动3–5分钟，促进体液循环与代谢稳定。</w:t>
      </w:r>
    </w:p>
    <w:p w14:paraId="59B74B6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（3）睡眠与作息：建议睡眠时长7–8小时/晚，固定入睡与起床时间，避免长期熬夜。</w:t>
      </w:r>
    </w:p>
    <w:p w14:paraId="56EE250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（4）药物与恢复管理：避免长期自行使用止痛药、抗炎药或多种保健品叠加使用，如需使用应咨询专业人员。</w:t>
      </w:r>
    </w:p>
    <w:p w14:paraId="12502BD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1ACE1A1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（1）以均衡、低负荷饮食结构为基础，每餐包含：蔬菜+适量优质蛋白+全谷物或豆类；主要脂肪来源：橄榄油、坚果、深海鱼。</w:t>
      </w:r>
    </w:p>
    <w:p w14:paraId="07549AE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（2）控制蛋白质摄入总量与分布，避免集中高蛋白饮食；减少加工肉类，适当增加植物蛋白比例。</w:t>
      </w:r>
    </w:p>
    <w:p w14:paraId="28D0146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（3）限制高盐与高度加工食品，尽量少吃：腌制品、加工肉类、即食零食；家庭烹饪以清淡为主，减少隐形钠摄入。</w:t>
      </w:r>
    </w:p>
    <w:p w14:paraId="002BB19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（4）饮水以分次、规律为原则，避免长时间不饮水或短时间大量饮水，保持稳定的排泄节律。</w:t>
      </w:r>
    </w:p>
    <w:p w14:paraId="5BB3900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3C884AA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（1）建议在执行本通用干预方案后，3–6个月复测同一组肾脏过滤与排泄相关指标。</w:t>
      </w:r>
    </w:p>
    <w:p w14:paraId="337A6CB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（2）若复测结果提示多项指标仍处于异常或进一步偏离，建议及时咨询专业医疗人员进行评估。</w:t>
      </w:r>
    </w:p>
    <w:p w14:paraId="7FB6C169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385749CA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（三）呼吸道炎症与微生物代谢状态</w:t>
      </w:r>
    </w:p>
    <w:p w14:paraId="757622A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0FEBBA3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呼气一氧化氮（FeNO）</w:t>
      </w:r>
    </w:p>
    <w:p w14:paraId="7D1F81E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第一秒呼出量百分比（FEV1%）</w:t>
      </w:r>
    </w:p>
    <w:p w14:paraId="276AF93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用力肺活量（FVC）</w:t>
      </w:r>
    </w:p>
    <w:p w14:paraId="335967B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呼气流量峰值（PEF）</w:t>
      </w:r>
    </w:p>
    <w:p w14:paraId="00C9ACF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FEV1/FVC</w:t>
      </w:r>
    </w:p>
    <w:p w14:paraId="25A2794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呼气氢气</w:t>
      </w:r>
    </w:p>
    <w:p w14:paraId="4D47AB3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呼气甲烷（CH₄）</w:t>
      </w:r>
    </w:p>
    <w:p w14:paraId="48A6825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幽门螺杆菌呼气试验（HP-UBT）</w:t>
      </w:r>
    </w:p>
    <w:p w14:paraId="2A132E69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3CE83CC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6F4F80E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E987EE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呼气一氧化氮（FeNO）、呼气氢气、呼气甲烷（CH₄）任一指标异常→触发方案</w:t>
      </w:r>
    </w:p>
    <w:p w14:paraId="303BC50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第一秒呼出量百分比（FEV1%）、用力肺活量（FVC）、呼气流量峰值（PEF）、FEV1/FVC、幽门螺杆菌呼气试验（HP-UBT）中任一指标异常；或呼气一氧化氮（FeNO）、呼气氢气、呼气甲烷（CH₄）中≥2项异常→不触发，提示：建议就医，进行专业评估</w:t>
      </w:r>
    </w:p>
    <w:p w14:paraId="0CB6D481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4.具体方案：</w:t>
      </w:r>
    </w:p>
    <w:p w14:paraId="76880BE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402F6D4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（1）Omega-3 脂肪酸（EPA / DHA）：有助于调节气道炎症反应，降低低度炎症与氧化应激水平，从而支持呼吸道黏膜环境的长期稳定。</w:t>
      </w:r>
    </w:p>
    <w:p w14:paraId="2A3C9BF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（2）镁（柠檬酸镁 / 甘氨酸镁）：参与支气管平滑肌舒张与神经调节，有助于改善通气效率并减轻气道紧张状态。</w:t>
      </w:r>
    </w:p>
    <w:p w14:paraId="37FF3C7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（3）维生素 C：有助于减轻呼吸道氧化应激压力，支持呼吸道黏膜屏障与局部免疫稳态。</w:t>
      </w:r>
    </w:p>
    <w:p w14:paraId="483549F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709A3D3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（1）身体活动：每周 ≥150 分钟中等强度活动，例如：快走、骑车、游泳；避免冷空气环境下进行高强度运动。</w:t>
      </w:r>
    </w:p>
    <w:p w14:paraId="2F44E35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（2）避免久坐：连续坐 ≥1 小时，起身活动 3–5 分钟，有助于改善通气与整体代谢状态。</w:t>
      </w:r>
    </w:p>
    <w:p w14:paraId="49F7C6C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（3）睡眠与作息：建议睡眠时长 7–8 小时/晚，固定入睡与起床时间，避免长期熬夜导致免疫与炎症调节失衡。</w:t>
      </w:r>
    </w:p>
    <w:p w14:paraId="64BCA73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（4）环境与恢复管理：尽量避免烟雾、粉尘、二手烟及强刺激性气味，空气质量较差时减少户外活动。</w:t>
      </w:r>
    </w:p>
    <w:p w14:paraId="329336D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6ED08F32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（1）以抗炎、低刺激饮食结构为基础，每餐包含：蔬菜 + 适量优质蛋白 + 全谷物或豆类；主要脂肪来源：橄榄油、坚果、深海鱼。</w:t>
      </w:r>
    </w:p>
    <w:p w14:paraId="45D764F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（2）减少可能加重呼吸道炎症的饮食因素，避免频繁摄入：油炸食品、烧烤、辛辣刺激食物及含糖饮料。</w:t>
      </w:r>
    </w:p>
    <w:p w14:paraId="568A50B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（3）如呼气氢气或呼气甲烷异常，暂时减少一次性大量易产气食物（如豆类、甜点），保持进食节律稳定，避免暴饮暴食。</w:t>
      </w:r>
    </w:p>
    <w:p w14:paraId="797DE36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（4）注意饮食温度与刺激性，避免过冷或过烫食物反复刺激呼吸道，饮水以温水、分次为宜。</w:t>
      </w:r>
    </w:p>
    <w:p w14:paraId="40488A7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097B8CF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（1）指标建议检测周期</w:t>
      </w:r>
    </w:p>
    <w:p w14:paraId="6B42862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呼气一氧化氮（FeNO）：首次触发干预后8–12周复测。</w:t>
      </w:r>
    </w:p>
    <w:p w14:paraId="18E4018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肺功能指标（FEV1%、FVC、PEF、FEV1/FVC）：8–12周复测。</w:t>
      </w:r>
    </w:p>
    <w:p w14:paraId="63C0D4F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呼气氢气 / 呼气甲烷（CH₄）：8–12周复测。</w:t>
      </w:r>
    </w:p>
    <w:p w14:paraId="5AC6FBC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幽门螺杆菌呼气试验（HP-UBT）：按医生建议复测，通常不早于8–12周。</w:t>
      </w:r>
    </w:p>
    <w:p w14:paraId="6696154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（2）长期随访节律</w:t>
      </w:r>
    </w:p>
    <w:p w14:paraId="42A9AC3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若复测结果趋于稳定，可调整为每3–6个月复测一次，用于状态跟踪与风险观察。</w:t>
      </w:r>
    </w:p>
    <w:p w14:paraId="092B6F7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（3）就医提示</w:t>
      </w:r>
    </w:p>
    <w:p w14:paraId="16BEBBB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若复测中肺功能相关指标仍为异常常并伴随明显症状（如气促、持续咳嗽、胸闷、反复胃部不适），及时咨询专业医疗人员进行进一步评估。</w:t>
      </w:r>
    </w:p>
    <w:p w14:paraId="7C41F800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70AEE34E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（四）神经压力与激素节律状态</w:t>
      </w:r>
    </w:p>
    <w:p w14:paraId="09D40FF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42A6D80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</w:t>
      </w:r>
    </w:p>
    <w:p w14:paraId="083CE5D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唾液皮质醇（深夜）</w:t>
      </w:r>
    </w:p>
    <w:p w14:paraId="69EA007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夜间觉醒次数</w:t>
      </w:r>
    </w:p>
    <w:p w14:paraId="24E319C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总睡眠时长</w:t>
      </w:r>
    </w:p>
    <w:p w14:paraId="5ADDE9D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夜间清醒总时长</w:t>
      </w:r>
    </w:p>
    <w:p w14:paraId="5BA3B3E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睡眠效率</w:t>
      </w:r>
    </w:p>
    <w:p w14:paraId="1E3DAE9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性激素基础信号（睾酮）</w:t>
      </w:r>
    </w:p>
    <w:p w14:paraId="35ED498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月经周期长度</w:t>
      </w:r>
    </w:p>
    <w:p w14:paraId="28CAE3C3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0A906D3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4CAD84F8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E47F25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3D63A466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20669FB2">
      <w:pPr>
        <w:wordWrap w:val="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50D8478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3124593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（1）镁（甘氨酸镁）：有助于调节神经兴奋性与压力反应，支持睡眠质量及神经系统放松状态。</w:t>
      </w:r>
    </w:p>
    <w:p w14:paraId="678E485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（2）Omega-3 脂肪酸（EPA / DHA）：有助于调节神经炎症与神经递质环境，支持压力状态下的神经稳定性。</w:t>
      </w:r>
    </w:p>
    <w:p w14:paraId="345E8BE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（3）维生素 B6 / B 族复合维生素：参与神经递质与激素合成代谢，有助于支持压力适应与激素节律稳定。</w:t>
      </w:r>
    </w:p>
    <w:p w14:paraId="7D7066F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生活方式干预建议</w:t>
      </w:r>
    </w:p>
    <w:p w14:paraId="053BD21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（1）睡眠节律重建：固定入睡与起床时间（包括周末），睡前1小时避免屏幕强刺激。</w:t>
      </w:r>
    </w:p>
    <w:p w14:paraId="5CF8D2A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（2）压力释放与神经放松：每日安排10–15分钟放松活动（深呼吸、拉伸、冥想）；避免长期处于高压但无恢复的状态。</w:t>
      </w:r>
    </w:p>
    <w:p w14:paraId="22F24D42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（3）日间活动与光照：白天适度户外活动与自然光照；避免白天长时间卧床或过度补觉。</w:t>
      </w:r>
    </w:p>
    <w:p w14:paraId="2D0C7BF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（4）运动原则：中低强度、规律运动优先；避免晚间高强度运动干扰激素节律。</w:t>
      </w:r>
    </w:p>
    <w:p w14:paraId="759BD11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600EBE3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（1）饮食结构以稳定血糖与神经节律为原则：每餐包含：优质蛋白+复合碳水+蔬菜，避免空腹时间过长或暴饮暴食。</w:t>
      </w:r>
    </w:p>
    <w:p w14:paraId="0DA2302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（2）减少可能加重神经兴奋的刺激因素：减少咖啡因、浓茶、能量饮料，避免晚间高糖、高脂夜宵。</w:t>
      </w:r>
    </w:p>
    <w:p w14:paraId="796714E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（3）晚餐时间与组成管理：建议在睡前≥3小时完成晚餐；晚餐避免过量辛辣、油腻食物。</w:t>
      </w:r>
    </w:p>
    <w:p w14:paraId="1C76972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7C327AE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（1）指标建议检测周期</w:t>
      </w:r>
    </w:p>
    <w:p w14:paraId="59ACEC8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唾液皮质醇（早晨/深夜）：首次触发干预后8–12周复测。</w:t>
      </w:r>
    </w:p>
    <w:p w14:paraId="2D67D87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睡眠结构指标（</w:t>
      </w:r>
      <w:r>
        <w:rPr>
          <w:rFonts w:hint="eastAsia" w:ascii="Times New Roman" w:hAnsi="Times New Roman" w:eastAsia="楷体"/>
          <w:sz w:val="24"/>
        </w:rPr>
        <w:t>夜间觉醒次数、总睡眠时长、夜间清醒总时长、睡眠效率</w:t>
      </w:r>
      <w:r>
        <w:rPr>
          <w:rFonts w:hint="eastAsia" w:ascii="Times New Roman" w:hAnsi="Times New Roman" w:eastAsia="楷体" w:cs="Times New Roman"/>
          <w:sz w:val="24"/>
        </w:rPr>
        <w:t>）：持续监测，8–12周综合评估。</w:t>
      </w:r>
    </w:p>
    <w:p w14:paraId="20CEEFB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性激素基础信号（睾酮）/ 月经周期长度：3–6个月复测或周期性观察。</w:t>
      </w:r>
    </w:p>
    <w:p w14:paraId="6164441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（2）长期随访节律：若指标趋于稳定，可调整为每3–6个月复评一次</w:t>
      </w:r>
    </w:p>
    <w:p w14:paraId="0CD6541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（3）就医提示：若出现以下任一情况，建议在执行支持性干预的同时咨询专业医疗人员：早晚皮质醇节律明显倒置，睡眠严重受损并持续加重，月经周期长期紊乱或性激素持续异常，明显情绪障碍或功能受限。</w:t>
      </w:r>
    </w:p>
    <w:p w14:paraId="66B2556C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24A3ECD4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（五）骨骼与矿物质代谢状态</w:t>
      </w:r>
    </w:p>
    <w:p w14:paraId="3A6E6F6B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1C6C17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骨密度（T 值）</w:t>
      </w:r>
    </w:p>
    <w:p w14:paraId="58A0731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骨骼肌指数（SMI）</w:t>
      </w:r>
    </w:p>
    <w:p w14:paraId="6B3F6A7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钙（血钙）</w:t>
      </w:r>
    </w:p>
    <w:p w14:paraId="515C845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镁（Mg）</w:t>
      </w:r>
    </w:p>
    <w:p w14:paraId="37E0181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维生素D（25-OH-D）</w:t>
      </w:r>
    </w:p>
    <w:p w14:paraId="154720A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64BC3534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66887B91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2637FA4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30819082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55B8D9B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A1703D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43FC71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（1）维生素D₃：有助于促进钙吸收并参与骨代谢调控，是维持骨密度与肌肉功能稳定的关键调节因子。</w:t>
      </w:r>
    </w:p>
    <w:p w14:paraId="7695112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（2）钙（碳酸钙）：为骨矿化提供基础原料，有助于支持骨结构稳定与骨强度维持。</w:t>
      </w:r>
    </w:p>
    <w:p w14:paraId="3C72ECD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（3）镁（甘氨酸镁）：参与骨矿化过程及维生素 D 代谢，同时支持肌肉与神经功能，有助于骨-肌协同稳定。</w:t>
      </w:r>
    </w:p>
    <w:p w14:paraId="1C95331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401FAF3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（1）抗阻与负重活动：每周 2–3 次抗阻训练（自重、弹力带或器械），日常增加负重步行、爬楼等活动，以刺激骨形成并维持肌肉量。</w:t>
      </w:r>
    </w:p>
    <w:p w14:paraId="3E008A0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（2）避免久坐与长期不活动：连续久坐 ≥1 小时应起身活动，有助于减缓骨量与肌肉量下降。</w:t>
      </w:r>
    </w:p>
    <w:p w14:paraId="13C8BB8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（3）跌倒风险管理：保持居家环境安全，配合平衡训练与下肢力量练习，降低跌倒与骨折风险。</w:t>
      </w:r>
    </w:p>
    <w:p w14:paraId="524B490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（4）作息与恢复：保证充足睡眠，避免长期熬夜，有助于骨代谢与肌肉修复。</w:t>
      </w:r>
    </w:p>
    <w:p w14:paraId="678D73E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457C11C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（1）饮食结构以支持骨与肌肉代谢为原则：每餐包含：优质蛋白 + 蔬菜 + 全谷物或豆类，乳制品或豆制品作为重要钙来源。</w:t>
      </w:r>
    </w:p>
    <w:p w14:paraId="39F0257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（2）保证足量蛋白摄入：避免长期低蛋白饮食，以免影响肌肉量与骨骼力学刺激。</w:t>
      </w:r>
    </w:p>
    <w:p w14:paraId="58C5C5E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（3）减少不利于骨代谢的饮食因素：控制高盐、高磷加工食品摄入，减少含糖饮料与高度加工零食。</w:t>
      </w:r>
    </w:p>
    <w:p w14:paraId="3DA617E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（4）注意维生素 D 协同条件：合理日晒，饮食中保留适度脂肪以促进脂溶性维生素吸收。</w:t>
      </w:r>
    </w:p>
    <w:p w14:paraId="36F6EE7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7B8B3A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（1）指标建议检测周期</w:t>
      </w:r>
    </w:p>
    <w:p w14:paraId="041B9F1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骨密度（T 值）：通常 1–2 年复测一次</w:t>
      </w:r>
    </w:p>
    <w:p w14:paraId="1114152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骨骼肌指数（SMI）：6–12 个月复测</w:t>
      </w:r>
    </w:p>
    <w:p w14:paraId="622D935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血钙、镁、维生素D（25-OH-D）：3–6 个月复测，用于评估补充与代谢状态</w:t>
      </w:r>
    </w:p>
    <w:p w14:paraId="2C34318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（2）长期随访节律</w:t>
      </w:r>
    </w:p>
    <w:p w14:paraId="7A181E8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若指标趋于稳定，可维持 6–12 个月评估一次整体状态</w:t>
      </w:r>
    </w:p>
    <w:p w14:paraId="7766B18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（3）就医提示（附加，不替代方案）</w:t>
      </w:r>
    </w:p>
    <w:p w14:paraId="1E79426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在继续执行支持性干预的同时，如出现以下任一情况，建议咨询专业医疗人员：骨密度 T 值明显异常，肌肉量持续下降并影响功能，矿物质或维生素 D 长期异常，出现不明原因骨痛、身高明显下降或骨折史。</w:t>
      </w:r>
    </w:p>
    <w:p w14:paraId="3A4706DA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64DAADB1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（六）视觉与眼部功能状态</w:t>
      </w:r>
    </w:p>
    <w:p w14:paraId="3DCB585C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6B3105C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视力</w:t>
      </w:r>
    </w:p>
    <w:p w14:paraId="62B5977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对比敏感度</w:t>
      </w:r>
    </w:p>
    <w:p w14:paraId="6351CB6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色觉</w:t>
      </w:r>
    </w:p>
    <w:p w14:paraId="5C8E24E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眼压</w:t>
      </w:r>
    </w:p>
    <w:p w14:paraId="7DB324B5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5C942AF7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34C345E1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46454CE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63437852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71785B8A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7CFF202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149C7F6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（1）叶黄素：有助于支持黄斑区结构与视网膜抗氧化防御，改善对比敏感度并保护视觉功能稳定。</w:t>
      </w:r>
    </w:p>
    <w:p w14:paraId="2E6CCD23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（2）Omega-3（DHA / EPA）：有助于支持视网膜细胞膜结构与眼部微循环，减轻眼部炎症与干眼相关不适。</w:t>
      </w:r>
    </w:p>
    <w:p w14:paraId="5A67878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（3）维生素A：参与视觉感光物质合成，有助于支持暗适应能力与整体视觉功能。</w:t>
      </w:r>
    </w:p>
    <w:p w14:paraId="7AA8CB6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728E7C1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（1）用眼节律管理：遵循“20-20-20”原则（每用眼20分钟，远眺20英尺，至少20秒），减少持续近距离用眼负荷。</w:t>
      </w:r>
    </w:p>
    <w:p w14:paraId="65C10AF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（2）屏幕与环境管理：调整屏幕亮度与对比度，避免暗光环境下长时间使用电子设备。</w:t>
      </w:r>
    </w:p>
    <w:p w14:paraId="5FD6053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（3）眼部放松与休息：每日安排2–3次闭眼休息或远眺，有助于缓解睫状肌紧张。</w:t>
      </w:r>
    </w:p>
    <w:p w14:paraId="63ECA4F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（4）睡眠与作息：保证充足睡眠，避免长期熬夜对视神经与眼压节律的不利影响。</w:t>
      </w:r>
    </w:p>
    <w:p w14:paraId="04C83FF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63BC5621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（1）饮食结构以支持眼部抗氧化与微循环为原则：每餐包含蔬菜 + 优质蛋白 + 全谷物；深绿色蔬菜（菠菜、羽衣甘蓝）和深色水果优先。</w:t>
      </w:r>
    </w:p>
    <w:p w14:paraId="07354B4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（2）增加有益脂肪摄入：适量摄入深海鱼、坚果和橄榄油，有助于脂溶性维生素吸收与视网膜健康。</w:t>
      </w:r>
    </w:p>
    <w:p w14:paraId="7588DEB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（3）减少不利因素：控制高糖、高盐与高度加工食品摄入，避免加重微血管负担。</w:t>
      </w:r>
    </w:p>
    <w:p w14:paraId="7F2DACE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7AA5C5A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（1）指标建议检测周期</w:t>
      </w:r>
    </w:p>
    <w:p w14:paraId="4D0ED71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视力/对比敏感度/色觉：6–12个月复测。</w:t>
      </w:r>
    </w:p>
    <w:p w14:paraId="32C3184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眼压：3–6个月复测，尤其在异常或边缘状态下。</w:t>
      </w:r>
    </w:p>
    <w:p w14:paraId="67B0822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（2）长期随访节律</w:t>
      </w:r>
    </w:p>
    <w:p w14:paraId="6F1D05D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若指标稳定，可维持6–12个月评估一次整体视觉状态。</w:t>
      </w:r>
    </w:p>
    <w:p w14:paraId="0D8836E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（3）就医提示</w:t>
      </w:r>
    </w:p>
    <w:p w14:paraId="14984B1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在继续执行支持性干预的同时，如出现以下任一情况，建议咨询专业眼科医疗人员：眼压异常或持续偏高，视力或对比敏感度明显下降，色觉异常新发或加重，出现视野缺损、眼痛或视物变形等症状。</w:t>
      </w:r>
    </w:p>
    <w:p w14:paraId="163D03E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4AC695DF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二、身体功能与状态评估</w:t>
      </w:r>
    </w:p>
    <w:p w14:paraId="54C41B35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（一）睡眠与疲劳状态监测</w:t>
      </w:r>
    </w:p>
    <w:p w14:paraId="1AC921B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6E70FA0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夜间觉醒次数</w:t>
      </w:r>
    </w:p>
    <w:p w14:paraId="2D92A90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总睡眠时长</w:t>
      </w:r>
    </w:p>
    <w:p w14:paraId="372FB70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夜间清醒总时长</w:t>
      </w:r>
    </w:p>
    <w:p w14:paraId="1232F02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睡眠效率</w:t>
      </w:r>
    </w:p>
    <w:p w14:paraId="034644F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</w:t>
      </w:r>
    </w:p>
    <w:p w14:paraId="5406272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唾液皮质醇（深夜）</w:t>
      </w:r>
    </w:p>
    <w:p w14:paraId="5389001E">
      <w:pPr>
        <w:wordWrap w:val="0"/>
        <w:rPr>
          <w:rFonts w:hint="default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（1）失眠严重程度评估；（2）疲劳程度评估</w:t>
      </w:r>
      <w:r>
        <w:rPr>
          <w:rFonts w:hint="eastAsia" w:ascii="Times New Roman" w:hAnsi="Times New Roman" w:eastAsia="楷体"/>
          <w:b/>
          <w:bCs/>
          <w:sz w:val="24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 w:val="0"/>
          <w:bCs w:val="0"/>
          <w:sz w:val="24"/>
          <w:highlight w:val="none"/>
          <w:lang w:val="en-US" w:eastAsia="zh-CN"/>
        </w:rPr>
        <w:t>标黄已经完成</w:t>
      </w:r>
    </w:p>
    <w:p w14:paraId="6C49AE73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5BF94493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4685F56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0CE193B9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5B5B672F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</w:t>
      </w:r>
    </w:p>
    <w:p w14:paraId="778AD14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6AE1C2E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（1）镁（甘氨酸镁或苏糖酸镁）：有助于降低神经兴奋性，促进放松状态建立，支持入睡与睡眠连续性。</w:t>
      </w:r>
    </w:p>
    <w:p w14:paraId="2B196A6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（2）Omega-3 脂肪酸（EPA / DHA）：有助于调节神经炎症与压力反应，支持疲劳状态下的神经系统稳定。</w:t>
      </w:r>
    </w:p>
    <w:p w14:paraId="5B5DF1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（3）维生素 B6：参与神经递质与能量代谢，有助于改善疲劳感并支持昼夜节律稳定。</w:t>
      </w:r>
    </w:p>
    <w:p w14:paraId="037D597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357E70F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（1）睡眠节律重建：固定入睡与起床时间（包括周末），睡前1小时避免屏幕与强刺激。</w:t>
      </w:r>
    </w:p>
    <w:p w14:paraId="11FC6A4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（2）夜间觉醒管理：夜间醒来尽量不看时间、不刷手机，保持低刺激环境，困倦后再入睡。</w:t>
      </w:r>
    </w:p>
    <w:p w14:paraId="18CA822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（3）日间活动与光照：白天进行适度户外活动与自然光照，避免白天长时间卧床或过度补觉。</w:t>
      </w:r>
    </w:p>
    <w:p w14:paraId="7D0C4F5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（4）运动原则：规律中低强度运动优先，避免睡前3小时内进行高强度运动。</w:t>
      </w:r>
    </w:p>
    <w:p w14:paraId="64A5757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15C4DDC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（1）饮食结构原则：每餐包含优质蛋白 + 复合碳水 + 蔬菜，以稳定血糖与神经节律，避免空腹时间过长。</w:t>
      </w:r>
    </w:p>
    <w:p w14:paraId="35C0B6B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（2）减少刺激性摄入：减少咖啡因、浓茶、能量饮料，下午及晚间尽量避免。</w:t>
      </w:r>
    </w:p>
    <w:p w14:paraId="729BB88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（3）晚餐管理：建议在睡前≥3小时完成晚餐，避免高糖、高脂、辛辣夜宵。</w:t>
      </w:r>
    </w:p>
    <w:p w14:paraId="413872F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135D5B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（1）睡眠结构指标（夜间觉醒次数、总睡眠时长、夜间清醒总时长、睡眠效率）：建议持续记录，8–12周综合评估一次。</w:t>
      </w:r>
    </w:p>
    <w:p w14:paraId="67DDBA7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（2）唾液皮质醇（早晨 / 深夜）：首次触发干预后8–12周复测。</w:t>
      </w:r>
    </w:p>
    <w:p w14:paraId="0375216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（3）长期随访：若指标趋于稳定，可调整为每3–6个月复评一次。</w:t>
      </w:r>
    </w:p>
    <w:p w14:paraId="1DC1C5E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769CB30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 → 建议咨询专业医疗人员。</w:t>
      </w:r>
    </w:p>
    <w:p w14:paraId="5DA807D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睡眠严重受损并影响白天功能 → 建议进行专业评估。</w:t>
      </w:r>
    </w:p>
    <w:p w14:paraId="651788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皮质醇昼夜节律明显紊乱 → 建议进行医学评估。</w:t>
      </w:r>
    </w:p>
    <w:p w14:paraId="60A528B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明显情绪或精力障碍持续存在 → 建议结合专业意见进一步判断。</w:t>
      </w:r>
    </w:p>
    <w:p w14:paraId="1C206583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689F8CC5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（二）运动与体能评估</w:t>
      </w:r>
    </w:p>
    <w:p w14:paraId="2F8CD6D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bookmarkStart w:id="1" w:name="_Hlk215182704"/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3B79135A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最大摄氧量估计（VO₂max）</w:t>
      </w:r>
    </w:p>
    <w:p w14:paraId="305854E5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</w:t>
      </w:r>
    </w:p>
    <w:p w14:paraId="09292F05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6 分钟步行距离</w:t>
      </w:r>
    </w:p>
    <w:p w14:paraId="6ECC8DB8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步速</w:t>
      </w:r>
    </w:p>
    <w:p w14:paraId="22DC2F1F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平衡能力（单脚站立时间）</w:t>
      </w:r>
    </w:p>
    <w:p w14:paraId="6760D245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握力</w:t>
      </w:r>
    </w:p>
    <w:p w14:paraId="407C2FB4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关联模型：暂无</w:t>
      </w:r>
    </w:p>
    <w:p w14:paraId="773EE98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F8638CB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7D85995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316BD37D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4181298B">
      <w:pPr>
        <w:wordWrap w:val="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9966B1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144D02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（1）优质蛋白（</w:t>
      </w:r>
      <w:r>
        <w:rPr>
          <w:rFonts w:hint="eastAsia" w:ascii="楷体" w:hAnsi="楷体" w:eastAsia="楷体" w:cs="楷体"/>
          <w:sz w:val="24"/>
        </w:rPr>
        <w:t>如乳清蛋白或大豆蛋白</w:t>
      </w:r>
      <w:r>
        <w:rPr>
          <w:rFonts w:hint="eastAsia" w:ascii="Times New Roman" w:hAnsi="Times New Roman" w:eastAsia="楷体"/>
          <w:sz w:val="24"/>
        </w:rPr>
        <w:t>）：支持肌肉合成与力量维持，有助于改善握力、步速与整体功能表现。</w:t>
      </w:r>
    </w:p>
    <w:p w14:paraId="3A0EE42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（2）维生素D₃：支持肌肉功能与神经肌肉协调，有助于降低跌倒风险并改善运动表现基础。</w:t>
      </w:r>
    </w:p>
    <w:p w14:paraId="3D31194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（3）镁（甘氨酸镁或柠檬酸镁）：参与能量代谢与肌肉收缩放松过程，有助于运动后恢复与疲劳缓解。</w:t>
      </w:r>
    </w:p>
    <w:p w14:paraId="303C3EF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095ECA9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（1）有氧耐力训练：每周≥150 分钟中等强度活动（快走、骑车、游泳），以改善VO₂max与心肺耐力。</w:t>
      </w:r>
    </w:p>
    <w:p w14:paraId="681819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（2）力量训练：每周2–3次抗阻训练（自重、弹力带或器械），重点关注下肢与核心肌群，以支持步速、握力与行走能力。</w:t>
      </w:r>
    </w:p>
    <w:p w14:paraId="498E7B7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（3）平衡与协调训练：每日进行简单平衡练习（如单脚站立、脚跟—脚尖行走），用于降低跌倒风险。</w:t>
      </w:r>
    </w:p>
    <w:p w14:paraId="6160AAD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（4）恢复与节律管理：避免连续多日高强度运动，重视运动后放松、拉伸与充足睡眠。</w:t>
      </w:r>
    </w:p>
    <w:p w14:paraId="2BC262A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3CD1342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（1）饮食结构原则：每餐包含优质蛋白+复合碳水+蔬菜，以支持运动能量供给与肌肉恢复。</w:t>
      </w:r>
    </w:p>
    <w:p w14:paraId="5633209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（2）运动前后营养管理：运动后1–2小时内补充蛋白与适量碳水，有助于恢复与体能提升。</w:t>
      </w:r>
    </w:p>
    <w:p w14:paraId="7F78083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（3）避免不利因素：减少高糖饮料、酒精及高度加工食品，以免影响体能恢复与心肺适应。</w:t>
      </w:r>
    </w:p>
    <w:p w14:paraId="115C263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12B6D71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（1）心肺与耐力指标（最大摄氧量估计（VO₂max）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运动后心率恢复（HRR）、6 分钟步行）：首次触发干预后8–12周复测。</w:t>
      </w:r>
    </w:p>
    <w:p w14:paraId="3CFB08B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（2）功能与力量指标（步速、单脚站立时间、握力）：8–12周复测，用于评估训练效果。</w:t>
      </w:r>
    </w:p>
    <w:p w14:paraId="17D0BD2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（3）长期随访：若指标稳定或改善，可调整为每3–6个月评估一次整体体能状态。</w:t>
      </w:r>
    </w:p>
    <w:p w14:paraId="0D44A60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（4）就医提示：</w:t>
      </w:r>
    </w:p>
    <w:p w14:paraId="6289D8B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≥2项指标持续异常→建议咨询专业医疗人员进行评估。</w:t>
      </w:r>
    </w:p>
    <w:p w14:paraId="68632D7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运动后恢复明显变差或日常活动能力下降→建议进行医学评估。</w:t>
      </w:r>
    </w:p>
    <w:p w14:paraId="2C074FC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平衡能力显著下降或反复跌倒→建议优先进行专业评估。</w:t>
      </w:r>
    </w:p>
    <w:p w14:paraId="54516CA2">
      <w:pPr>
        <w:spacing w:line="288" w:lineRule="auto"/>
        <w:rPr>
          <w:rFonts w:ascii="Times New Roman" w:hAnsi="Times New Roman" w:eastAsia="楷体"/>
          <w:sz w:val="24"/>
        </w:rPr>
      </w:pPr>
    </w:p>
    <w:bookmarkEnd w:id="1"/>
    <w:p w14:paraId="501ECBD0">
      <w:pPr>
        <w:spacing w:line="288" w:lineRule="auto"/>
        <w:rPr>
          <w:rFonts w:ascii="Times New Roman" w:hAnsi="Times New Roman" w:eastAsia="楷体" w:cs="Times New Roman"/>
          <w:sz w:val="28"/>
          <w:szCs w:val="28"/>
        </w:rPr>
      </w:pPr>
      <w:r>
        <w:rPr>
          <w:rFonts w:hint="eastAsia" w:ascii="Times New Roman" w:hAnsi="Times New Roman" w:eastAsia="楷体" w:cs="Times New Roman"/>
          <w:sz w:val="28"/>
          <w:szCs w:val="28"/>
        </w:rPr>
        <w:t>（三）皮肤与衰老状态趋势分析</w:t>
      </w:r>
    </w:p>
    <w:p w14:paraId="5C2EB60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45E9514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皮肤水分</w:t>
      </w:r>
    </w:p>
    <w:p w14:paraId="60256FE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皮肤油脂</w:t>
      </w:r>
    </w:p>
    <w:p w14:paraId="7E90D8B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皮肤 pH</w:t>
      </w:r>
    </w:p>
    <w:p w14:paraId="48B26810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2.关联模型：暂无</w:t>
      </w:r>
    </w:p>
    <w:p w14:paraId="7F4F0BC5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63CCE9DE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24BDEE7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3ACE7C03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569B976B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83FEAD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2CF3450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DHA）：有助于调节皮肤炎症反应并支持皮肤屏障脂质结构稳定，改善干燥与敏感倾向。</w:t>
      </w:r>
    </w:p>
    <w:p w14:paraId="43EEBBC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 C：参与胶原合成并提供抗氧化支持，有助于减轻环境压力下的皮肤老化负担。</w:t>
      </w:r>
    </w:p>
    <w:p w14:paraId="79D5691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（3）锌（葡萄糖酸锌/硫酸锌/柠檬酸锌）：参与皮肤修复与皮脂代谢调节，有助于维持皮肤屏障完整性与油脂平衡。</w:t>
      </w:r>
    </w:p>
    <w:p w14:paraId="05E0290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46F7C69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（1）皮肤清洁与护理节律：避免过度清洁与频繁去角质，选择温和清洁方式以减少屏障破坏。</w:t>
      </w:r>
    </w:p>
    <w:p w14:paraId="1974143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（2）环境与防护管理：避免长期暴露于强日晒、干燥或污染环境，必要时采取基础防护措施。</w:t>
      </w:r>
    </w:p>
    <w:p w14:paraId="12662D7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（3）作息与恢复：保证充足睡眠，避免长期熬夜导致皮肤修复能力下降。</w:t>
      </w:r>
    </w:p>
    <w:p w14:paraId="30BAFDC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（4）压力管理：长期精神压力可影响皮脂与屏障功能，应配合放松与恢复措施。</w:t>
      </w:r>
    </w:p>
    <w:p w14:paraId="343FB51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15559C8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（1）饮食结构原则：每餐包含蔬菜+优质蛋白+适量健康脂肪，以支持皮肤代谢与修复。</w:t>
      </w:r>
    </w:p>
    <w:p w14:paraId="4C1FEB9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（2）补水与脂质支持：保证日常饮水量，适度摄入坚果、鱼类与橄榄油等有益脂肪。</w:t>
      </w:r>
    </w:p>
    <w:p w14:paraId="7CFEEA0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（3）减少不利因素：减少高糖、高精制碳水及高度加工食品，以免加重皮肤老化与炎症负担。</w:t>
      </w:r>
    </w:p>
    <w:p w14:paraId="16CA977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1DA90F1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（1）皮肤水分/油脂/pH：首次触发干预后8–12周复测，用于观察屏障与代谢趋势变化。</w:t>
      </w:r>
    </w:p>
    <w:p w14:paraId="09C220B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（2）长期随访：若指标趋于稳定，可调整为每3–6个月评估一次皮肤状态趋势。</w:t>
      </w:r>
    </w:p>
    <w:p w14:paraId="6CBF895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（3）就医提示</w:t>
      </w:r>
    </w:p>
    <w:p w14:paraId="48B414B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 项指标持续异常→建议咨询专业医疗人员或皮肤科医生。</w:t>
      </w:r>
    </w:p>
    <w:p w14:paraId="1D1C4C8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皮肤状态明显恶化或伴随瘙痒、炎症、破损→建议进行专业评估。</w:t>
      </w:r>
    </w:p>
    <w:p w14:paraId="73B2F256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三、营养与代谢支持</w:t>
      </w:r>
    </w:p>
    <w:p w14:paraId="68C99255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（一）个体饮食结构与营养平衡分析</w:t>
      </w:r>
    </w:p>
    <w:p w14:paraId="17D04BB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2D5FF8F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总胆固醇（TC）</w:t>
      </w:r>
    </w:p>
    <w:p w14:paraId="08545B8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低密度脂蛋白胆固醇（LDL-C）</w:t>
      </w:r>
    </w:p>
    <w:p w14:paraId="5E987F0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高密度脂蛋白胆固醇（HDL-C）</w:t>
      </w:r>
    </w:p>
    <w:p w14:paraId="27F7918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甘油三酯（TG）</w:t>
      </w:r>
    </w:p>
    <w:p w14:paraId="5D2B0A0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空腹血糖（FPG）</w:t>
      </w:r>
    </w:p>
    <w:p w14:paraId="7315C2B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空腹胰岛素（FINS）</w:t>
      </w:r>
    </w:p>
    <w:p w14:paraId="103C18A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6C897FD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32AE28F7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3088206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7726FCA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1F19A47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</w:t>
      </w:r>
    </w:p>
    <w:p w14:paraId="451A3F7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8CEF21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DHA）：有助于改善血脂结构并支持脂肪代谢平衡，尤其对甘油三酯偏高人群有益。</w:t>
      </w:r>
    </w:p>
    <w:p w14:paraId="71A49CD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（2）可溶性膳食纤维（如洋车前子壳、燕麦 β-葡聚糖）：有助于降低胆固醇吸收、改善餐后血糖反应并支持肠道代谢环境。</w:t>
      </w:r>
    </w:p>
    <w:p w14:paraId="698B8F1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（3）镁（甘氨酸镁或柠檬酸镁）：参与葡萄糖代谢与胰岛素信号调节，有助于支持血糖与胰岛素敏感性平衡。</w:t>
      </w:r>
    </w:p>
    <w:p w14:paraId="4474C4D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DA4A2C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（1）进食节律管理：固定三餐时间，避免频繁加餐、夜宵与长时间进食窗口紊乱。</w:t>
      </w:r>
    </w:p>
    <w:p w14:paraId="2C03FA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（2）身体活动支持：每周≥150 分钟中等强度活动（如快走、骑车），有助于改善血脂与胰岛素敏感性。</w:t>
      </w:r>
    </w:p>
    <w:p w14:paraId="4D587F4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（3）久坐干预：连续久坐≥1小时应起身活动3–5分钟，以支持葡萄糖与脂肪代谢。</w:t>
      </w:r>
    </w:p>
    <w:p w14:paraId="7FC735B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（4）睡眠与恢复：保证7–8小时睡眠，避免熬夜对胰岛素与脂质代谢的不利影响。</w:t>
      </w:r>
    </w:p>
    <w:p w14:paraId="2075EB9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54EB7B3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（1）饮食结构原则：每餐包含蔬菜 + 优质蛋白 + 复合碳水，以稳定血糖与能量供给。</w:t>
      </w:r>
    </w:p>
    <w:p w14:paraId="0FF41A4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（2）脂肪结构优化：减少反式脂肪与过量饱和脂肪，增加橄榄油、坚果与深海鱼等不饱和脂肪来源。</w:t>
      </w:r>
    </w:p>
    <w:p w14:paraId="2E06050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（3）碳水质量管理：减少精制糖与精白主食，优先选择全谷物、豆类与高纤维食物。</w:t>
      </w:r>
    </w:p>
    <w:p w14:paraId="58BCD2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（4）避免高负荷饮食模式：减少高糖饮料、甜点与高度加工食品，避免短时间内大量能量摄入。</w:t>
      </w:r>
    </w:p>
    <w:p w14:paraId="0174A78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1B955A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（1）血脂指标（总胆固醇（TC）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低密度脂蛋白胆固醇（LDL-C）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高密度脂蛋白胆固醇（HDL-C）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甘油三酯（TG））：首次触发干预后8–12周复测。</w:t>
      </w:r>
    </w:p>
    <w:p w14:paraId="3F959B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（2）血糖与胰岛素指标（空腹血糖（FPG）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空腹胰岛素（FINS））：8–12周复测，用于观察饮食与生活方式调整效果。</w:t>
      </w:r>
    </w:p>
    <w:p w14:paraId="679D9A1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 3–6 个月评估一次营养与代谢状态。</w:t>
      </w:r>
    </w:p>
    <w:p w14:paraId="46E4591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3E31A36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≥2项指标持续异常→建议咨询专业医疗人员进行评估。</w:t>
      </w:r>
    </w:p>
    <w:p w14:paraId="282D453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血糖或胰岛素指标异常并伴随明显体重变化或乏力→建议进行专业评估。</w:t>
      </w:r>
    </w:p>
    <w:p w14:paraId="082181C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血脂异常持续存在或合并其他心血管风险因素→建议结合专业意见进一步判断。</w:t>
      </w:r>
    </w:p>
    <w:p w14:paraId="4CE287FC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45E17CC1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（二）功能性营养素与微量元素评估</w:t>
      </w:r>
    </w:p>
    <w:p w14:paraId="64FEBDA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60AA711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A</w:t>
      </w:r>
    </w:p>
    <w:p w14:paraId="683481A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B1（硫胺素）</w:t>
      </w:r>
    </w:p>
    <w:p w14:paraId="3003A73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B2（核黄素）</w:t>
      </w:r>
    </w:p>
    <w:p w14:paraId="419C9CA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B6</w:t>
      </w:r>
    </w:p>
    <w:p w14:paraId="5FD0EEA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B9（叶酸）</w:t>
      </w:r>
    </w:p>
    <w:p w14:paraId="04ADCDE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B12</w:t>
      </w:r>
    </w:p>
    <w:p w14:paraId="5E33FCE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C</w:t>
      </w:r>
    </w:p>
    <w:p w14:paraId="589C082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D（25-OH-D）</w:t>
      </w:r>
    </w:p>
    <w:p w14:paraId="431CE9A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E</w:t>
      </w:r>
    </w:p>
    <w:p w14:paraId="5645328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K1</w:t>
      </w:r>
    </w:p>
    <w:p w14:paraId="286D0BD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钙（Ca / 血钙）</w:t>
      </w:r>
    </w:p>
    <w:p w14:paraId="5CDA0FF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镁（Mg）</w:t>
      </w:r>
    </w:p>
    <w:p w14:paraId="2FAAEFC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铁（Fe）</w:t>
      </w:r>
    </w:p>
    <w:p w14:paraId="32C009C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锌（Zn）</w:t>
      </w:r>
    </w:p>
    <w:p w14:paraId="584E5EF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铜（Cu）</w:t>
      </w:r>
    </w:p>
    <w:p w14:paraId="10FEF82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锰（Mn）</w:t>
      </w:r>
    </w:p>
    <w:p w14:paraId="14A9ED2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碘（I）</w:t>
      </w:r>
    </w:p>
    <w:p w14:paraId="19EDBD6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硒（Se）</w:t>
      </w:r>
    </w:p>
    <w:p w14:paraId="46188F3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铅（Pb）</w:t>
      </w:r>
    </w:p>
    <w:p w14:paraId="1B0FAF4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镉（Cd）</w:t>
      </w:r>
    </w:p>
    <w:p w14:paraId="0705DD2C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17328619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D077828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2F5B6B0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除铅（Pb）、镉（Cd）以外的任一指标偏低异常→触发方案</w:t>
      </w:r>
    </w:p>
    <w:p w14:paraId="1193C5D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≥2项异常，或任一指标偏高异常，或铅（Pb）、镉（Cd）其中之一异常→不触发方案，仅提示：建议就医，进行专业评估</w:t>
      </w:r>
    </w:p>
    <w:p w14:paraId="62F20DC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398DFC4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0640CDB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注：建议您以检测结果为依据，优先补充当前存在不足或储备偏低的营养素，而非同时补充多种营养成分。</w:t>
      </w:r>
    </w:p>
    <w:p w14:paraId="7C543CB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（1）复合维生素B：支持能量代谢、神经功能与造血过程，有助于改善长期摄入不足或吸收效率下降带来的功能性影响。</w:t>
      </w:r>
    </w:p>
    <w:p w14:paraId="5685F0F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（2）维生素D₃：支持钙吸收、免疫调节与肌肉功能，是多系统稳态的重要基础营养素。</w:t>
      </w:r>
    </w:p>
    <w:p w14:paraId="3BACCBD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（3）镁（甘氨酸镁或柠檬酸镁）：参与多种酶反应与神经肌肉调节，有助于支持矿物质代谢平衡与整体功能稳定。</w:t>
      </w:r>
    </w:p>
    <w:p w14:paraId="09F4546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014F830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（1）补充依从性管理：补充营养素应固定时间、持续执行，避免间断或频繁更换品类。</w:t>
      </w:r>
    </w:p>
    <w:p w14:paraId="1ED7D5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（2）吸收条件优化：避免长期空腹服用脂溶性维生素，注意与咖啡、茶、酒精等影响吸收因素错开。</w:t>
      </w:r>
    </w:p>
    <w:p w14:paraId="3B62D18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（3）暴露风险管理：减少不必要的重金属暴露来源（如劣质容器、污染环境），保持生活环境清洁。</w:t>
      </w:r>
    </w:p>
    <w:p w14:paraId="34105EF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（4）作息与恢复：保证充足睡眠与规律作息，有助于营养素代谢与内稳态维持。</w:t>
      </w:r>
    </w:p>
    <w:p w14:paraId="6158D81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1E0E0DE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（1）饮食结构原则：每日饮食包含多样化蔬菜、水果、全谷物、优质蛋白与健康脂肪，以覆盖多种维生素与矿物质来源。</w:t>
      </w:r>
    </w:p>
    <w:p w14:paraId="533541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（2）微量元素来源管理：适量摄入坚果、豆类、海产品、乳制品与瘦肉，以支持锌、铁、硒、碘等元素平衡。</w:t>
      </w:r>
    </w:p>
    <w:p w14:paraId="2F12F99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（3）避免单一化饮食：避免长期极端饮食模式（如过度精制、极端素食或单一主食结构）。</w:t>
      </w:r>
    </w:p>
    <w:p w14:paraId="3BD8742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（4）减少干扰因素：控制高糖、高度加工食品摄入，以免影响矿物质吸收与利用。</w:t>
      </w:r>
    </w:p>
    <w:p w14:paraId="55755E3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3051EA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（1）维生素与必需矿物质指标：首次触发干预后 8–12 周复测，用于评估补充与饮食调整效果。</w:t>
      </w:r>
    </w:p>
    <w:p w14:paraId="10F611D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（2）重金属指标（Pb、Cd）：如出现异常，建议在专业指导下复测与随访。</w:t>
      </w:r>
    </w:p>
    <w:p w14:paraId="45F06FA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 6–12 个月评估一次营养与元素状态。</w:t>
      </w:r>
    </w:p>
    <w:p w14:paraId="1632C19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7F64AC9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≥2项营养素或矿物质指标持续异常→建议咨询专业医疗人员或营养医学相关专业人员。</w:t>
      </w:r>
    </w:p>
    <w:p w14:paraId="5605878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重金属指标异常 → 建议进行专业评估与进一步检查。</w:t>
      </w:r>
    </w:p>
    <w:p w14:paraId="1AF5226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营养异常伴随明显乏力、神经症状或免疫功能下降 → 建议结合专业意见进一步判断。</w:t>
      </w:r>
    </w:p>
    <w:p w14:paraId="79A62A1F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5B19F1E4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（三）炎症与免疫功能调控</w:t>
      </w:r>
    </w:p>
    <w:p w14:paraId="2F9FCC52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33C7811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高敏 C 反应蛋白（hs-CRP）</w:t>
      </w:r>
    </w:p>
    <w:p w14:paraId="557C2DB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白细胞计数</w:t>
      </w:r>
    </w:p>
    <w:p w14:paraId="36855925">
      <w:pPr>
        <w:spacing w:line="288" w:lineRule="auto"/>
        <w:rPr>
          <w:rFonts w:ascii="Times New Roman" w:hAnsi="Times New Roman" w:eastAsia="楷体"/>
          <w:b/>
          <w:bCs/>
          <w:sz w:val="24"/>
          <w:highlight w:val="yellow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sz w:val="24"/>
          <w:highlight w:val="yellow"/>
        </w:rPr>
        <w:t>成人免疫健康状态评估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 xml:space="preserve"> </w:t>
      </w:r>
    </w:p>
    <w:p w14:paraId="34B9BE7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944F823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32DADC5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6686145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4D42C1E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2929B8E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762C8D9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DHA）：有助于调节系统性炎症反应，支持炎症因子平衡与免疫稳态。</w:t>
      </w:r>
    </w:p>
    <w:p w14:paraId="6EFB594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 D₃：参与免疫调节与炎症控制，有助于维持先天免疫与适应性免疫功能平衡。</w:t>
      </w:r>
    </w:p>
    <w:p w14:paraId="1788AB0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（3）锌（葡萄糖酸锌/硫酸锌/柠檬酸锌）：支持免疫细胞功能与炎症应答调节，有助于维持免疫反应的有效性与稳定性。</w:t>
      </w:r>
    </w:p>
    <w:p w14:paraId="22F279F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31762A3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（1）炎症负荷管理：避免长期熬夜、过度劳累与持续高压状态，以减少免疫系统过度激活。</w:t>
      </w:r>
    </w:p>
    <w:p w14:paraId="6BE3B04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（2）身体活动原则：保持规律中低强度活动（如快走、拉伸），避免炎症状态下进行高强度训练。</w:t>
      </w:r>
    </w:p>
    <w:p w14:paraId="441E1A3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（3）感染与暴露管理：注意个人卫生与环境清洁，减少不必要的感染与炎症诱因。</w:t>
      </w:r>
    </w:p>
    <w:p w14:paraId="4017121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（4）恢复与睡眠：保证7–8小时睡眠，为免疫系统提供充分恢复时间。</w:t>
      </w:r>
    </w:p>
    <w:p w14:paraId="2CDE7F6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390E10F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（1）饮食结构原则：以抗炎饮食为导向，每餐包含蔬菜+优质蛋白+健康脂肪，减少高炎症负荷食物。</w:t>
      </w:r>
    </w:p>
    <w:p w14:paraId="7A31FB1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（2）脂肪结构优化：增加深海鱼、橄榄油、坚果等不饱和脂肪，减少反式脂肪与过量饱和脂肪。</w:t>
      </w:r>
    </w:p>
    <w:p w14:paraId="26BCE3F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（3）减少刺激与负担：控制高糖饮料、酒精及高度加工食品摄入，以免加重炎症反应。</w:t>
      </w:r>
    </w:p>
    <w:p w14:paraId="2E53976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A9B859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（1）高敏 C 反应蛋白（hs-CRP） /白细胞计数：首次触发干预后8–12周复测，用于观察炎症负荷变化趋势。</w:t>
      </w:r>
    </w:p>
    <w:p w14:paraId="4B6D55F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（2）长期随访：若指标趋于稳定，可调整为每3–6个月评估一次炎症与免疫状态。</w:t>
      </w:r>
    </w:p>
    <w:p w14:paraId="6B251DC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（3）就医提示</w:t>
      </w:r>
    </w:p>
    <w:p w14:paraId="4EDB20F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≥2项指标持续异常→建议咨询专业医疗人员进行评估。</w:t>
      </w:r>
    </w:p>
    <w:p w14:paraId="48DBA84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炎症指标异常并伴随发热、明显不适或症状加重→建议及时进行医学评估。</w:t>
      </w:r>
    </w:p>
    <w:p w14:paraId="686B5ED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hs-CRP 持续升高或白细胞计数明显异常建议结合专业意见进一步判断。</w:t>
      </w:r>
    </w:p>
    <w:p w14:paraId="42563FB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270143AD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（四）特殊人群营养支持（孕期、儿童、老年）</w:t>
      </w:r>
    </w:p>
    <w:p w14:paraId="16FFDE4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sz w:val="28"/>
          <w:szCs w:val="28"/>
        </w:rPr>
        <w:t>孕期</w:t>
      </w:r>
    </w:p>
    <w:p w14:paraId="4E9D039C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343C4BA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B9（叶酸）</w:t>
      </w:r>
    </w:p>
    <w:p w14:paraId="3F3440F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B12</w:t>
      </w:r>
    </w:p>
    <w:p w14:paraId="05001222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铁（Fe）</w:t>
      </w:r>
    </w:p>
    <w:p w14:paraId="7F67DD4D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碘（I）</w:t>
      </w:r>
    </w:p>
    <w:p w14:paraId="31A231EC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钙（Ca）</w:t>
      </w:r>
    </w:p>
    <w:p w14:paraId="689B757A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D（25-OH-D）</w:t>
      </w:r>
    </w:p>
    <w:p w14:paraId="4C72CD4A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锌（Zn）</w:t>
      </w:r>
    </w:p>
    <w:p w14:paraId="1108CDFB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</w:rPr>
        <w:t>硒（Se）</w:t>
      </w:r>
    </w:p>
    <w:p w14:paraId="65F3E534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sz w:val="24"/>
        </w:rPr>
        <w:t>暂无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58ACE6A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C19DB6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0701E6F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B9（叶酸）、维生素 B12、碘（I）、钙（Ca）、维生素 D（25-OH-D）、锌（Zn）、硒（Se）指标异常→触发方案</w:t>
      </w:r>
    </w:p>
    <w:p w14:paraId="6F074E2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只要铁异常→触发方案+提示：建议就医，进行专业评估，以下为一般性建议，请在医生的指导下使用</w:t>
      </w:r>
    </w:p>
    <w:p w14:paraId="064E0AA2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74C143EA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85B7FCF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注：建议您以检测结果为依据，优先补充当前存在不足或储备偏低的营养素，而非同时补充多种营养成分。</w:t>
      </w:r>
    </w:p>
    <w:p w14:paraId="59AF249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（1）叶酸（维生素 B9）：支持胎儿神经管发育与母体造血功能，是孕期基础营养素。</w:t>
      </w:r>
    </w:p>
    <w:p w14:paraId="2D271CF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（2）铁（琥珀酸亚铁，按医嘱或评估补充）：支持母体造血与胎盘供氧能力，预防孕期贫血风险。</w:t>
      </w:r>
    </w:p>
    <w:p w14:paraId="20E0ED7B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（3）维生素</w:t>
      </w:r>
      <w:r>
        <w:rPr>
          <w:rFonts w:ascii="Times New Roman" w:hAnsi="Times New Roman" w:eastAsia="楷体"/>
          <w:sz w:val="24"/>
        </w:rPr>
        <w:t xml:space="preserve"> D₃ + </w:t>
      </w:r>
      <w:r>
        <w:rPr>
          <w:rFonts w:hint="eastAsia" w:ascii="Times New Roman" w:hAnsi="Times New Roman" w:eastAsia="楷体"/>
          <w:sz w:val="24"/>
        </w:rPr>
        <w:t>钙（</w:t>
      </w:r>
      <w:r>
        <w:rPr>
          <w:rFonts w:hint="eastAsia" w:ascii="Times New Roman" w:hAnsi="Times New Roman" w:eastAsia="楷体"/>
          <w:sz w:val="24"/>
          <w:lang w:val="en-US" w:eastAsia="zh-CN"/>
        </w:rPr>
        <w:t>柠檬酸钙</w:t>
      </w:r>
      <w:r>
        <w:rPr>
          <w:rFonts w:hint="eastAsia" w:ascii="Times New Roman" w:hAnsi="Times New Roman" w:eastAsia="楷体"/>
          <w:sz w:val="24"/>
        </w:rPr>
        <w:t>）：支持胎儿骨骼发育与母体钙代谢平衡，降低骨量流失风险。</w:t>
      </w:r>
    </w:p>
    <w:p w14:paraId="48E44FD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注：铁剂与钙剂应分时段服用，避免相互影响吸收。</w:t>
      </w:r>
    </w:p>
    <w:p w14:paraId="655ACD35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8641E6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（1）规律作息：保证充足睡眠，支持孕期代谢与内分泌稳定。</w:t>
      </w:r>
    </w:p>
    <w:p w14:paraId="08A45013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（2）温和活动：根据孕周进行散步、孕妇瑜伽等低风险活动，促进血液循环。</w:t>
      </w:r>
    </w:p>
    <w:p w14:paraId="047F9F3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（3）避免过度补充：避免自行叠加多种营养补充剂，防止摄入过量。</w:t>
      </w:r>
    </w:p>
    <w:p w14:paraId="01642B6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1EB8D46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（1）饮食结构原则：三餐均衡，包含优质蛋白、蔬菜、全谷物与乳制品。</w:t>
      </w:r>
    </w:p>
    <w:p w14:paraId="5D169EE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（2）铁与叶酸食物来源：红肉、动物肝脏（适量）、深绿色蔬菜、豆类。</w:t>
      </w:r>
    </w:p>
    <w:p w14:paraId="33CD5DE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（3）碘与硒来源：海产品、蛋类、奶制品（在安全范围内）。</w:t>
      </w:r>
    </w:p>
    <w:p w14:paraId="1EC6185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（4）促进吸收：富含维生素 C 的食物有助于铁吸收。</w:t>
      </w:r>
    </w:p>
    <w:p w14:paraId="78D49090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58CF15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（1）铁 / 叶酸 / B12：首次触发干预后 8–12 周复测。</w:t>
      </w:r>
    </w:p>
    <w:p w14:paraId="3814766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（2）钙 / 维生素 D：根据孕周与补充情况定期复测。</w:t>
      </w:r>
    </w:p>
    <w:p w14:paraId="445BF93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（3）长期随访：孕期每阶段（早 / 中 / 晚期）评估一次营养状态更为稳妥。</w:t>
      </w:r>
    </w:p>
    <w:p w14:paraId="52277E8A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1F0CD19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26EADA8E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铁（Fe）指标异常</w:t>
      </w:r>
    </w:p>
    <w:p w14:paraId="19F4E57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铁异常并伴随乏力、头晕、心悸等症状</w:t>
      </w:r>
    </w:p>
    <w:p w14:paraId="3BF405B6">
      <w:pPr>
        <w:spacing w:line="288" w:lineRule="auto"/>
        <w:rPr>
          <w:rFonts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</w:rPr>
        <w:t>补充营养后指标持续异常</w:t>
      </w:r>
    </w:p>
    <w:p w14:paraId="31A1371A">
      <w:pPr>
        <w:spacing w:line="288" w:lineRule="auto"/>
        <w:rPr>
          <w:rFonts w:ascii="Times New Roman" w:hAnsi="Times New Roman" w:eastAsia="楷体"/>
          <w:sz w:val="28"/>
          <w:szCs w:val="28"/>
          <w:highlight w:val="yellow"/>
        </w:rPr>
      </w:pPr>
    </w:p>
    <w:p w14:paraId="0166761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sz w:val="28"/>
          <w:szCs w:val="28"/>
        </w:rPr>
        <w:t>儿童</w:t>
      </w:r>
    </w:p>
    <w:p w14:paraId="52CE3F8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25000F55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钙（Ca）</w:t>
      </w:r>
    </w:p>
    <w:p w14:paraId="068C43E7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D（25-OH-D）</w:t>
      </w:r>
    </w:p>
    <w:p w14:paraId="2F5A42D5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铁（Fe）</w:t>
      </w:r>
    </w:p>
    <w:p w14:paraId="2A7FC370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锌（Zn）</w:t>
      </w:r>
    </w:p>
    <w:p w14:paraId="04BFF531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镁（Mg）</w:t>
      </w:r>
    </w:p>
    <w:p w14:paraId="271E7988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A</w:t>
      </w:r>
    </w:p>
    <w:p w14:paraId="5F7DB177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B9（叶酸）</w:t>
      </w:r>
    </w:p>
    <w:p w14:paraId="7E870298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</w:rPr>
        <w:t>维生素 B12</w:t>
      </w:r>
    </w:p>
    <w:p w14:paraId="0874E77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sz w:val="24"/>
        </w:rPr>
        <w:t>暂无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07E17B8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C48032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41AC9C8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除铁以外的指标异常→触发方案</w:t>
      </w:r>
    </w:p>
    <w:p w14:paraId="0EBF003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只要铁异常→触发方案+提示：建议就医，进行专业评估，以下为一般性建议，请在医生的指导下使用</w:t>
      </w:r>
    </w:p>
    <w:p w14:paraId="5078827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75EEC2FD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13C113B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注：建议您以检测结果为依据，优先补充当前存在不足或储备偏低的营养素，而非同时补充多种营养成分。</w:t>
      </w:r>
    </w:p>
    <w:p w14:paraId="5DB11C38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</w:t>
      </w:r>
      <w:r>
        <w:rPr>
          <w:rFonts w:ascii="Times New Roman" w:hAnsi="Times New Roman" w:eastAsia="楷体"/>
          <w:sz w:val="24"/>
        </w:rPr>
        <w:t xml:space="preserve"> D₃ + </w:t>
      </w:r>
      <w:r>
        <w:rPr>
          <w:rFonts w:hint="eastAsia" w:ascii="Times New Roman" w:hAnsi="Times New Roman" w:eastAsia="楷体"/>
          <w:sz w:val="24"/>
        </w:rPr>
        <w:t>钙（葡萄糖酸钙）：支持骨骼发育与骨量积累，是儿童生长阶段的基础营养组合。</w:t>
      </w:r>
    </w:p>
    <w:p w14:paraId="539FA65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（2）铁（葡萄糖酸亚铁，仅在评估或医嘱下补充）：支持造血与大脑发育，防止缺铁相关风险。</w:t>
      </w:r>
    </w:p>
    <w:p w14:paraId="48C35EA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（3）锌（葡萄糖酸锌）：支持免疫功能、味觉与生长激素相关代谢。</w:t>
      </w:r>
    </w:p>
    <w:p w14:paraId="2A715A2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注：铁剂与钙剂需分时段服用，避免吸收干扰。</w:t>
      </w:r>
    </w:p>
    <w:p w14:paraId="3EE06C8C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E5EAEC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（1）日照与活动：每日保证户外活动与日照时间，支持维生素 D 合成。</w:t>
      </w:r>
    </w:p>
    <w:p w14:paraId="37EDD06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（2）规律作息：保证充足睡眠，有助于生长激素分泌与代谢恢复。</w:t>
      </w:r>
    </w:p>
    <w:p w14:paraId="7295E46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（3）避免过度补充：避免多种儿童营养品叠加使用，防止摄入过量。</w:t>
      </w:r>
    </w:p>
    <w:p w14:paraId="77EEDBA0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5936CB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（1）饮食结构原则：三餐均衡，包含优质蛋白、乳制品、蔬菜、水果与主食。</w:t>
      </w:r>
    </w:p>
    <w:p w14:paraId="4CBE044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（2）铁与叶酸来源：瘦肉、蛋类、豆类、深绿色蔬菜。</w:t>
      </w:r>
    </w:p>
    <w:p w14:paraId="7723F13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（3）维生素 A 来源：深色蔬果（胡萝卜、南瓜）与动物性食物（适量）。</w:t>
      </w:r>
    </w:p>
    <w:p w14:paraId="7CD9B3B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（4）促进吸收：富含维生素 C 的水果有助于铁吸收。</w:t>
      </w:r>
    </w:p>
    <w:p w14:paraId="718C7C39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2EE8D4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（1）铁 / 叶酸 / B12：首次触发干预后 8–12 周复测。</w:t>
      </w:r>
    </w:p>
    <w:p w14:paraId="2224EA4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（2）钙 / 维生素 D：可结合季节与生长阶段定期评估。</w:t>
      </w:r>
    </w:p>
    <w:p w14:paraId="68DE378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（3）长期随访：每 6–12 个月评估一次儿童整体营养状态。</w:t>
      </w:r>
    </w:p>
    <w:p w14:paraId="3BAF6D0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43BB1DE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6690DF8E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铁（Fe）指标异常</w:t>
      </w:r>
    </w:p>
    <w:p w14:paraId="698284F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铁异常并伴随乏力、食欲下降、注意力不集中或面色苍白</w:t>
      </w:r>
    </w:p>
    <w:p w14:paraId="14F80F31">
      <w:pPr>
        <w:spacing w:line="288" w:lineRule="auto"/>
        <w:rPr>
          <w:rFonts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</w:rPr>
        <w:t>补充营养后铁指标持续异常</w:t>
      </w:r>
    </w:p>
    <w:p w14:paraId="00D03565">
      <w:pPr>
        <w:spacing w:line="288" w:lineRule="auto"/>
        <w:ind w:firstLine="480" w:firstLineChars="200"/>
        <w:rPr>
          <w:rFonts w:ascii="Times New Roman" w:hAnsi="Times New Roman" w:eastAsia="楷体"/>
          <w:sz w:val="24"/>
          <w:highlight w:val="yellow"/>
        </w:rPr>
      </w:pPr>
    </w:p>
    <w:p w14:paraId="29DABD0B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sz w:val="28"/>
          <w:szCs w:val="28"/>
        </w:rPr>
        <w:t>老年</w:t>
      </w:r>
    </w:p>
    <w:p w14:paraId="4793185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03D4641C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钙（Ca）</w:t>
      </w:r>
    </w:p>
    <w:p w14:paraId="5AFAA836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D（25-OH-D）</w:t>
      </w:r>
    </w:p>
    <w:p w14:paraId="65C287BB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维生素 K1</w:t>
      </w:r>
    </w:p>
    <w:p w14:paraId="58C4CD3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</w:rPr>
        <w:t>镁（Mg）</w:t>
      </w:r>
    </w:p>
    <w:p w14:paraId="64DEC662">
      <w:pPr>
        <w:spacing w:line="288" w:lineRule="auto"/>
        <w:rPr>
          <w:rFonts w:ascii="Times New Roman" w:hAnsi="Times New Roman" w:eastAsia="楷体"/>
          <w:b/>
          <w:bCs/>
          <w:sz w:val="24"/>
          <w:highlight w:val="yellow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sz w:val="24"/>
        </w:rPr>
        <w:t>暂无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516D7F1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0B12E87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5852F27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012BCD9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0879F87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AFD8639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05D4DC92">
      <w:pPr>
        <w:spacing w:line="288" w:lineRule="auto"/>
        <w:rPr>
          <w:rFonts w:hint="eastAsia" w:ascii="Times New Roman" w:hAnsi="Times New Roman" w:eastAsia="楷体"/>
          <w:sz w:val="24"/>
          <w:lang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注：建议您以检测结果为依据，优先补充当前存在不足或储备偏低的营养素，而非同时补充多种营养成分。</w:t>
      </w:r>
    </w:p>
    <w:p w14:paraId="7799B518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</w:t>
      </w:r>
      <w:r>
        <w:rPr>
          <w:rFonts w:ascii="Times New Roman" w:hAnsi="Times New Roman" w:eastAsia="楷体"/>
          <w:sz w:val="24"/>
        </w:rPr>
        <w:t xml:space="preserve"> D₃</w:t>
      </w:r>
      <w:r>
        <w:rPr>
          <w:rFonts w:hint="eastAsia" w:ascii="Times New Roman" w:hAnsi="Times New Roman" w:eastAsia="楷体"/>
          <w:sz w:val="24"/>
        </w:rPr>
        <w:t>：促进钙吸收并支持骨骼与肌肉功能，是老年阶段的基础补充营养素。</w:t>
      </w:r>
    </w:p>
    <w:p w14:paraId="5567D54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（2）钙（碳酸钙）：为骨矿化提供原料，有助于维持骨量稳定。</w:t>
      </w:r>
    </w:p>
    <w:p w14:paraId="0DAD04F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（3）镁（甘氨酸镁或柠檬酸镁）：参与骨代谢与神经肌肉调节，有助于减少肌肉无力与痉挛风险。</w:t>
      </w:r>
    </w:p>
    <w:p w14:paraId="170A69C5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生活方式建议</w:t>
      </w:r>
    </w:p>
    <w:p w14:paraId="5F77D0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（1）日照与活动：每日进行适度户外活动与日照，支持维生素 D 合成。</w:t>
      </w:r>
    </w:p>
    <w:p w14:paraId="016A0096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（2）抗阻与平衡训练：每周 2–3 次低强度力量与平衡训练，以支持骨—肌协同与防跌倒。</w:t>
      </w:r>
    </w:p>
    <w:p w14:paraId="0B8E4F8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（3）规律作息：保证充足睡眠，有助于骨代谢与恢复。</w:t>
      </w:r>
    </w:p>
    <w:p w14:paraId="01BBD3B0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3A8B38B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（1）饮食结构原则：每日包含乳制品或替代来源、蔬菜、优质蛋白与全谷物。</w:t>
      </w:r>
    </w:p>
    <w:p w14:paraId="1428BD0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（2）富含维生素 K1 食物：深绿色蔬菜（如菠菜、羽衣甘蓝）。</w:t>
      </w:r>
    </w:p>
    <w:p w14:paraId="12ADBDA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（3）避免不利因素：减少高盐、高磷加工食品摄入，以免影响钙代谢。</w:t>
      </w:r>
    </w:p>
    <w:p w14:paraId="0F4D8A4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27E0B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（1）钙/维生素 D /镁：首次触发干预后 8–12 周复测。</w:t>
      </w:r>
    </w:p>
    <w:p w14:paraId="7D10D1C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（2）长期随访：指标稳定后，每 6–12 个月评估一次老年营养支持状态。</w:t>
      </w:r>
    </w:p>
    <w:p w14:paraId="35B2DD2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7343436A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四、慢病风险早筛与管理</w:t>
      </w:r>
    </w:p>
    <w:p w14:paraId="20C6FB17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（一）心血管代谢状态评估</w:t>
      </w:r>
    </w:p>
    <w:p w14:paraId="73928A3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7A3444B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 xml:space="preserve">收缩压（SBP） </w:t>
      </w:r>
    </w:p>
    <w:p w14:paraId="1B35150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舒张压（DBP）</w:t>
      </w:r>
    </w:p>
    <w:p w14:paraId="20555FF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静息心率</w:t>
      </w:r>
    </w:p>
    <w:p w14:paraId="1C07FB5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最大摄氧量估计（VO₂max）</w:t>
      </w:r>
    </w:p>
    <w:p w14:paraId="79462B1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</w:t>
      </w:r>
    </w:p>
    <w:p w14:paraId="5D8B27EB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心血管疾病风险预测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7F80C0D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046F9E9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73C94A8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571A084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38D027A4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639FC80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FD1DDB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DHA）：有助于改善血管内皮功能与心率变异性，支持血压与心血管代谢稳态。</w:t>
      </w:r>
    </w:p>
    <w:p w14:paraId="5178D4F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（2）镁（甘氨酸镁或柠檬酸镁）：参与血管舒张、心肌电生理与能量代谢，有助于支持血压与心率调节。</w:t>
      </w:r>
    </w:p>
    <w:p w14:paraId="77E6C9F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（3）辅酶 Q10（CoQ10）：参与线粒体能量生成，有助于支持心肌能量代谢与运动耐力表现。</w:t>
      </w:r>
    </w:p>
    <w:p w14:paraId="4DEE366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EC7FCA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（1）有氧运动管理：每周≥150分钟中等强度有氧活动（快走、骑车、游泳），以改善VO₂max与心肺耐力。</w:t>
      </w:r>
    </w:p>
    <w:p w14:paraId="1F6FFB0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（2）运动恢复能力训练：采用间歇式或节律性训练方式，逐步改善运动后心率恢复（HRR）。</w:t>
      </w:r>
    </w:p>
    <w:p w14:paraId="63986B7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（3）久坐干预：连续久坐≥1小时应起身活动3–5分钟，以支持血管弹性与代谢流动性。</w:t>
      </w:r>
    </w:p>
    <w:p w14:paraId="4419F52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（4）压力与作息管理：避免长期熬夜与高压状态，保证规律作息以稳定静息心率与血压节律。</w:t>
      </w:r>
    </w:p>
    <w:p w14:paraId="5D55FF6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1EEC55E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（1）饮食结构原则：以心血管友好型饮食为基础，每餐包含蔬菜 + 优质蛋白 + 全谷物或豆类。</w:t>
      </w:r>
    </w:p>
    <w:p w14:paraId="48B37C6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（2）脂肪结构优化：减少反式脂肪与过量饱和脂肪，增加橄榄油、坚果、深海鱼等不饱和脂肪来源。</w:t>
      </w:r>
    </w:p>
    <w:p w14:paraId="40D68AA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（3）钠钾平衡管理：减少高盐与高度加工食品摄入，鼓励天然食物来源的钾摄入以支持血压调节。</w:t>
      </w:r>
    </w:p>
    <w:p w14:paraId="06C8F65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382B49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（1）血压与静息心率：建议日常或周期性监测，8–12周综合评估趋势变化。</w:t>
      </w:r>
    </w:p>
    <w:p w14:paraId="379B257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（2）VO₂max / HRR：首次触发干预后8–12周复测，用于评估运动与生活方式调整效果。</w:t>
      </w:r>
    </w:p>
    <w:p w14:paraId="6BD45D3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（3）长期随访：若指标趋于稳定，可调整为每3–6个月评估一次心血管代谢状态。</w:t>
      </w:r>
    </w:p>
    <w:p w14:paraId="1762B50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就医提示</w:t>
      </w:r>
    </w:p>
    <w:p w14:paraId="4A4B18A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 → 建议咨询专业医疗人员进行评估。</w:t>
      </w:r>
    </w:p>
    <w:p w14:paraId="04338E8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血压持续升高或静息心率明显异常 → 建议进行专业评估。</w:t>
      </w:r>
    </w:p>
    <w:p w14:paraId="2ED66F7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运动耐力明显下降或运动后恢复显著变慢 → 建议结合专业意见进一步判断。</w:t>
      </w:r>
    </w:p>
    <w:p w14:paraId="27B55BE1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39D1492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/>
          <w:sz w:val="28"/>
          <w:szCs w:val="28"/>
        </w:rPr>
        <w:t>（二）糖代谢与胰岛功能风险评估</w:t>
      </w:r>
    </w:p>
    <w:p w14:paraId="584AE522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1D314B5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空腹血糖（FPG）</w:t>
      </w:r>
    </w:p>
    <w:p w14:paraId="0699F8B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空腹胰岛素（FINS）</w:t>
      </w:r>
    </w:p>
    <w:p w14:paraId="5F0B935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糖尿病风险计算器</w:t>
      </w:r>
    </w:p>
    <w:p w14:paraId="6D0CC9E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1FABB3DE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5F52EA2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5BBE303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108E661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639F5EE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0CC234D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（1）镁（甘氨酸镁或柠檬酸镁）：参与胰岛素信号传导与葡萄糖代谢，有助于支持胰岛素敏感性与血糖稳态。</w:t>
      </w:r>
    </w:p>
    <w:p w14:paraId="3595CC7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（2）可溶性膳食纤维（如洋车前子壳、燕麦 β-葡聚糖）：有助于延缓葡萄糖吸收、改善空腹与餐后血糖反应。</w:t>
      </w:r>
    </w:p>
    <w:p w14:paraId="674BD03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（3）Omega-3 脂肪酸（EPA / DHA）：有助于减轻低度炎症负担，支持代谢环境稳定并间接改善胰岛功能压力。</w:t>
      </w:r>
    </w:p>
    <w:p w14:paraId="1831C35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D5376B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（1）进食节律管理：固定三餐时间，避免频繁加餐、夜宵及长时间进食窗口紊乱。</w:t>
      </w:r>
    </w:p>
    <w:p w14:paraId="2B740BD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（2）身体活动支持：每周≥150 分钟中等强度有氧活动（如快走、骑车），并结合日常活动减少久坐时间。</w:t>
      </w:r>
    </w:p>
    <w:p w14:paraId="5F6301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（3）久坐干预：连续久坐≥1小时应起身活动3–5分钟，以改善葡萄糖利用效率。</w:t>
      </w:r>
    </w:p>
    <w:p w14:paraId="0915250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（4）睡眠与压力管理：保证7–8小时睡眠，避免长期熬夜与高压状态加重胰岛素抵抗。</w:t>
      </w:r>
    </w:p>
    <w:p w14:paraId="02C2C87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5BE0395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（1）饮食结构原则：每餐包含蔬菜 + 优质蛋白 + 复合碳水，以降低血糖波动幅度。</w:t>
      </w:r>
    </w:p>
    <w:p w14:paraId="11216DB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（2）碳水质量管理：减少精制糖、含糖饮料与精白主食，优先选择全谷物、豆类与高纤维食物。</w:t>
      </w:r>
    </w:p>
    <w:p w14:paraId="039FBC8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（3）避免高负荷模式：减少短时间内大量能量摄入，避免暴饮暴食或高糖零食。</w:t>
      </w:r>
    </w:p>
    <w:p w14:paraId="4EDDC56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7636155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（1）空腹血糖（FPG）/空腹胰岛素（FINS）：首次触发干预后8–12周复测，用于观察生活方式调整效果。</w:t>
      </w:r>
    </w:p>
    <w:p w14:paraId="0B9AA24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（2）长期随访：若指标趋于稳定，可调整为每3–6个月评估一次糖代谢与胰岛功能状态。</w:t>
      </w:r>
    </w:p>
    <w:p w14:paraId="57D4132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（3）就医提示</w:t>
      </w:r>
    </w:p>
    <w:p w14:paraId="21F48D7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≥2项指标持续异常→建议咨询专业医疗人员进行评估。</w:t>
      </w:r>
    </w:p>
    <w:p w14:paraId="25CA331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血糖持续升高或伴随明显口渴、乏力、体重变化→建议进行专业评估。</w:t>
      </w:r>
    </w:p>
    <w:p w14:paraId="49AEF71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胰岛素指标异常并伴随代谢综合征相关风险→建议结合专业意见进一步判断。</w:t>
      </w:r>
    </w:p>
    <w:p w14:paraId="7670C109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479FD31E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（三）脂质代谢与动脉硬化风险识别</w:t>
      </w:r>
    </w:p>
    <w:p w14:paraId="058C9B7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297246F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低密度脂蛋白胆固醇（LDL-C）</w:t>
      </w:r>
    </w:p>
    <w:p w14:paraId="09655DC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高密度脂蛋白胆固醇（HDL-C）</w:t>
      </w:r>
    </w:p>
    <w:p w14:paraId="14615A1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甘油三酯（TG）</w:t>
      </w:r>
    </w:p>
    <w:p w14:paraId="0639DE1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总胆固醇（TC）</w:t>
      </w:r>
    </w:p>
    <w:p w14:paraId="2EA21E0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关联模型：10年动脉粥样硬化性心血管疾病风险评估 </w:t>
      </w:r>
    </w:p>
    <w:p w14:paraId="3D28E48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82FBE18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3C74419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559C52D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6507F899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3B260B7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2B99E01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（1）Omega-3 脂肪酸（EPA / DHA）：有助于降低甘油三酯水平并改善脂质结构，对动脉内皮环境具有支持作用。</w:t>
      </w:r>
    </w:p>
    <w:p w14:paraId="50DF4E6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（2）可溶性膳食纤维（如洋车前子壳、燕麦β-葡聚糖）：有助于减少胆固醇吸收并促进胆汁酸代谢，从而支持</w:t>
      </w:r>
      <w:r>
        <w:rPr>
          <w:rFonts w:hint="eastAsia" w:ascii="Times New Roman" w:hAnsi="Times New Roman" w:eastAsia="楷体"/>
          <w:sz w:val="24"/>
        </w:rPr>
        <w:t>低密度脂蛋白胆固醇</w:t>
      </w:r>
      <w:r>
        <w:rPr>
          <w:rFonts w:hint="eastAsia" w:ascii="Times New Roman" w:hAnsi="Times New Roman" w:eastAsia="楷体" w:cs="Times New Roman"/>
          <w:sz w:val="24"/>
        </w:rPr>
        <w:t>调控。</w:t>
      </w:r>
    </w:p>
    <w:p w14:paraId="0B197BD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（3）植物甾醇 / 植物甾烷：有助于竞争性抑制胆固醇吸收，改善血脂结构稳定性。</w:t>
      </w:r>
    </w:p>
    <w:p w14:paraId="3DAB6DA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0C90FDB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（1）身体活动支持：每周≥150 分钟中等强度有氧运动（快走、骑车、游泳），有助于提高</w:t>
      </w:r>
      <w:r>
        <w:rPr>
          <w:rFonts w:hint="eastAsia" w:ascii="Times New Roman" w:hAnsi="Times New Roman" w:eastAsia="楷体"/>
          <w:sz w:val="24"/>
        </w:rPr>
        <w:t>高密度脂蛋白胆固醇</w:t>
      </w:r>
      <w:r>
        <w:rPr>
          <w:rFonts w:hint="eastAsia" w:ascii="Times New Roman" w:hAnsi="Times New Roman" w:eastAsia="楷体" w:cs="Times New Roman"/>
          <w:sz w:val="24"/>
        </w:rPr>
        <w:t>并改善脂质代谢。</w:t>
      </w:r>
    </w:p>
    <w:p w14:paraId="2BD6F3C2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（2）久坐干预：连续久坐≥1小时应起身活动3–5分钟，以促进脂质与能量代谢。</w:t>
      </w:r>
    </w:p>
    <w:p w14:paraId="7D01A7E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（3）体重与腰围管理：避免体脂持续增加，尤其是腹部脂肪堆积对脂质代谢的不利影响。</w:t>
      </w:r>
    </w:p>
    <w:p w14:paraId="7C777D6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（4）睡眠与压力管理：保证7–8小时睡眠，避免长期高压与熬夜干扰脂质代谢节律。</w:t>
      </w:r>
    </w:p>
    <w:p w14:paraId="66A02BF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795066D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（1）饮食结构原则：以心血管友好型饮食为基础，每餐包含蔬菜+优质蛋白+全谷物或豆类。</w:t>
      </w:r>
    </w:p>
    <w:p w14:paraId="6E36A6A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（2）脂肪结构优化：减少反式脂肪与过量饱和脂肪，增加橄榄油、坚果、深海鱼等不饱和脂肪来源。</w:t>
      </w:r>
    </w:p>
    <w:p w14:paraId="087C3B3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（3）减少高负荷摄入：减少高糖饮料、甜点与高度加工食品，以免加重甘油三酯升高。</w:t>
      </w:r>
    </w:p>
    <w:p w14:paraId="0A23E34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（4）酒精管理：限制酒精摄入，避免对甘油三酯与肝脏脂质代谢造成额外负担。</w:t>
      </w:r>
    </w:p>
    <w:p w14:paraId="5D44C93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3A1B033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（1）血脂指标（低密度脂蛋白胆固醇（LDL-C）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、</w:t>
      </w:r>
      <w:r>
        <w:rPr>
          <w:rFonts w:hint="eastAsia" w:ascii="Times New Roman" w:hAnsi="Times New Roman" w:eastAsia="楷体" w:cs="Times New Roman"/>
          <w:sz w:val="24"/>
        </w:rPr>
        <w:t>高密度脂蛋白胆固醇（HDL-C）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、</w:t>
      </w:r>
      <w:r>
        <w:rPr>
          <w:rFonts w:hint="eastAsia" w:ascii="Times New Roman" w:hAnsi="Times New Roman" w:eastAsia="楷体" w:cs="Times New Roman"/>
          <w:sz w:val="24"/>
        </w:rPr>
        <w:t>甘油三酯（TG）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、</w:t>
      </w:r>
      <w:r>
        <w:rPr>
          <w:rFonts w:hint="eastAsia" w:ascii="Times New Roman" w:hAnsi="Times New Roman" w:eastAsia="楷体" w:cs="Times New Roman"/>
          <w:sz w:val="24"/>
        </w:rPr>
        <w:t>总胆固醇（TC））：首次触发干预后8–12周复测，用于观察饮食与生活方式调整效果。</w:t>
      </w:r>
    </w:p>
    <w:p w14:paraId="006956B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（2）长期随访：若指标趋于稳定，可调整为每 3–6 个月评估一次脂质代谢与动脉硬化风险趋势。</w:t>
      </w:r>
    </w:p>
    <w:p w14:paraId="26B7881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（3）就医提示</w:t>
      </w:r>
    </w:p>
    <w:p w14:paraId="0BBF283D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≥2项血脂指标持续异常→建议咨询专业医疗人员进行评估。</w:t>
      </w:r>
    </w:p>
    <w:p w14:paraId="5B9DEAA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低密度脂蛋白胆固醇（LDL-C）持续升高或合并其他心血管风险因素→建议进行专业评估。</w:t>
      </w:r>
    </w:p>
    <w:p w14:paraId="3279905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甘油三酯明显升高或反复异常 → 建议结合专业意见进一步判断。</w:t>
      </w:r>
    </w:p>
    <w:p w14:paraId="1ABC5A2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6F58FE02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（四）骨密度与跌倒风险评估</w:t>
      </w:r>
    </w:p>
    <w:p w14:paraId="43EEF16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1534060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骨密度（T 值）</w:t>
      </w:r>
    </w:p>
    <w:p w14:paraId="1C61A0F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骨骼肌指数（SMI）</w:t>
      </w:r>
    </w:p>
    <w:p w14:paraId="099E6E0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平衡能力（单脚站立时间）</w:t>
      </w:r>
    </w:p>
    <w:p w14:paraId="7E98B11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步速</w:t>
      </w:r>
    </w:p>
    <w:p w14:paraId="4B13CD2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握力</w:t>
      </w:r>
    </w:p>
    <w:p w14:paraId="438A47E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674A68C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C68CBE2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59E823B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任一指标异常→触发方案</w:t>
      </w:r>
    </w:p>
    <w:p w14:paraId="7D92761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≥2项异常→触发方案+提示：建议就医，进行专业评估，以下为一般性建议，请在医生的指导下使用</w:t>
      </w:r>
    </w:p>
    <w:p w14:paraId="0CFCDF7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0B8EF21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4E60CED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（1）维生素D₃：有助于促进钙吸收并支持肌肉与神经肌肉功能，对骨强度与平衡能力具有基础支持作用。</w:t>
      </w:r>
    </w:p>
    <w:p w14:paraId="32C0DC5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（2）钙（碳酸钙）：为骨矿化提供原料，有助于维持骨密度稳定并降低骨折风险。</w:t>
      </w:r>
    </w:p>
    <w:p w14:paraId="5E699B3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（3）镁（甘氨酸镁或柠檬酸镁）：参与骨代谢与肌肉收缩调节，有助于骨–肌协同与神经肌肉稳定性。</w:t>
      </w:r>
    </w:p>
    <w:p w14:paraId="5E86D55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0462C8E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（1）抗阻训练：每周2–3次力量训练（自重、弹力带或器械），重点加强下肢与核心肌群，以支持步速与握力。</w:t>
      </w:r>
    </w:p>
    <w:p w14:paraId="53B4C5E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（2）平衡训练：每日进行平衡练习（单脚站立、脚跟—脚尖行走），以改善稳定性并降低跌倒风险。</w:t>
      </w:r>
    </w:p>
    <w:p w14:paraId="08916E1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（3）日常活动管理：避免长期不活动或久坐，连续久坐≥1小时应起身活动。</w:t>
      </w:r>
    </w:p>
    <w:p w14:paraId="43DCFE0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（4）居家安全管理：保持地面防滑、照明充足，减少跌倒诱因。</w:t>
      </w:r>
    </w:p>
    <w:p w14:paraId="6C38937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4076029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饮食结构原则：每餐包含优质蛋白+蔬菜+全谷物或豆类，以支持肌肉合成与骨代谢。</w:t>
      </w:r>
    </w:p>
    <w:p w14:paraId="3B2F4C2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保证蛋白摄入：避免长期低蛋白饮食，以免加重肌肉量下降与功能减退。</w:t>
      </w:r>
    </w:p>
    <w:p w14:paraId="26AD4FB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减少不利因素：控制高盐、高糖及高度加工食品摄入，以免影响骨与肌肉代谢。</w:t>
      </w:r>
    </w:p>
    <w:p w14:paraId="46B94DE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138217A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（1）骨密度（T 值）：通常 1–2 年复测一次，用于评估骨量变化趋势。</w:t>
      </w:r>
    </w:p>
    <w:p w14:paraId="432DE69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（2）功能性指标（骨骼肌指数（SMI）、步速、单脚站立时间、握力）：首次触发干预后8–12周复测，用于评估训练与生活方式调整效果。</w:t>
      </w:r>
    </w:p>
    <w:p w14:paraId="1DB7D9E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（3）长期随访：若指标趋于稳定，可调整为每6–12个月评估一次整体跌倒风险状态。</w:t>
      </w:r>
    </w:p>
    <w:p w14:paraId="022E327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0C8D13A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 项指标持续异常 → 建议咨询专业医疗人员进行评估。</w:t>
      </w:r>
    </w:p>
    <w:p w14:paraId="510297D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骨密度明显偏低或功能指标快速下降 → 建议进行专业评估。</w:t>
      </w:r>
    </w:p>
    <w:p w14:paraId="59D7603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近期出现跌倒史或明显行动不稳 → 建议优先进行医学评估。</w:t>
      </w:r>
    </w:p>
    <w:p w14:paraId="66F1628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743DF21B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（五）消化系统与肠道功能检测</w:t>
      </w:r>
    </w:p>
    <w:p w14:paraId="034D777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0FF8D62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</w:t>
      </w:r>
    </w:p>
    <w:p w14:paraId="2FF7281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呼气氢气</w:t>
      </w:r>
    </w:p>
    <w:p w14:paraId="66FA339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呼气甲烷（CH₄）</w:t>
      </w:r>
    </w:p>
    <w:p w14:paraId="19E13C9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4D4DE56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1C3A376E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19FE7D8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呼气氢气、呼气甲烷（CH₄）中任一指标异常→触发方案</w:t>
      </w:r>
    </w:p>
    <w:p w14:paraId="36E1D89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≥2项异常，或幽门螺杆菌呼气试验（HP UBT）异常→触发方案+提示：建议就医，进行专业评估，以下为一般性建议，请在医生的指导下使用</w:t>
      </w:r>
    </w:p>
    <w:p w14:paraId="064D2CA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06C8DDE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25C2506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（1）益生菌（含双歧杆菌、乳酸杆菌）：有助于调节肠道菌群结构，改善异常发酵状态并支持肠道屏障功能。</w:t>
      </w:r>
    </w:p>
    <w:p w14:paraId="6711DF0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（2）可溶性膳食纤维（如洋车前子壳、部分水溶性纤维）：有助于调节肠道发酵节律，改善氢气或甲烷偏高相关的不适。</w:t>
      </w:r>
    </w:p>
    <w:p w14:paraId="2844310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（3）锌（或锌-肌肽复合物）：支持胃黏膜修复与肠道屏障稳定，对消化道黏膜健康具有基础支持作用。</w:t>
      </w:r>
    </w:p>
    <w:p w14:paraId="72DD56B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3AD3EC5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（1）进食节律管理：固定三餐时间，避免频繁加餐与夜宵，以减少胃肠道持续负荷。</w:t>
      </w:r>
    </w:p>
    <w:p w14:paraId="27B85EA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（2）进食行为管理：细嚼慢咽，避免进食过快、过饱或情绪紧张状态下进食。</w:t>
      </w:r>
    </w:p>
    <w:p w14:paraId="0DFA300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（3）压力与恢复管理：长期压力可影响胃肠蠕动与菌群平衡，应配合放松与规律作息。</w:t>
      </w:r>
    </w:p>
    <w:p w14:paraId="75120E8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（4）避免刺激因素：减少烟酒、浓茶、咖啡及辛辣刺激对胃肠道的反复刺激。</w:t>
      </w:r>
    </w:p>
    <w:p w14:paraId="7A2000F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322F328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（1）饮食结构原则：以温和、易消化饮食为主，每餐包含适量优质蛋白+熟制蔬菜+低刺激主食。</w:t>
      </w:r>
    </w:p>
    <w:p w14:paraId="1F9F43E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（2）避免不利因素：减少油炸、高脂及高度加工食品，以免加重胃肠道负担。</w:t>
      </w:r>
    </w:p>
    <w:p w14:paraId="01292FC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65A7FB7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（1）幽门螺杆菌呼气试验（HP UBT）：如首次异常，建议在专业指导下复测或随访，通常不早于 8–12 周。</w:t>
      </w:r>
    </w:p>
    <w:p w14:paraId="00E6205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（2）呼气氢气/甲烷（CH₄）：首次触发干预后 8–12 周复测，用于观察肠道发酵状态变化。</w:t>
      </w:r>
    </w:p>
    <w:p w14:paraId="576B36E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（3）长期随访：若指标趋于稳定，可调整为每3–6个月评估一次消化与肠道功能状态。</w:t>
      </w:r>
    </w:p>
    <w:p w14:paraId="1D8698A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0617432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≥2项指标持续异常→建议咨询专业医疗人员进行评估。</w:t>
      </w:r>
    </w:p>
    <w:p w14:paraId="27C75C0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UBT）异常→建议进行专业评估，以明确是否需要医学干预。</w:t>
      </w:r>
    </w:p>
    <w:p w14:paraId="5647DBA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消化不适持续存在或加重（如腹痛、反酸、腹胀明显）→建议结合专业意见进一步判断。</w:t>
      </w:r>
    </w:p>
    <w:p w14:paraId="6BD32F14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53CE1E8E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（六）肾功能与电解质平衡分析</w:t>
      </w:r>
    </w:p>
    <w:p w14:paraId="3B33C85B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29C58E60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血清肌酐（SCr）</w:t>
      </w:r>
    </w:p>
    <w:p w14:paraId="66A1122B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尿肌酐</w:t>
      </w:r>
    </w:p>
    <w:p w14:paraId="0E32652C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尿白蛋白-肌酐比（UACR）</w:t>
      </w:r>
    </w:p>
    <w:p w14:paraId="02532FC4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尿蛋白</w:t>
      </w:r>
    </w:p>
    <w:p w14:paraId="52EFCF18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尿比重（SG）</w:t>
      </w:r>
    </w:p>
    <w:p w14:paraId="453C1B5A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尿酸碱度（尿 pH）</w:t>
      </w:r>
    </w:p>
    <w:p w14:paraId="314CAE4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肾功能风险模型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2243FF9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E62C90A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7DF6BC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尿肌酐、尿比重（SG）、尿酸碱度（尿 pH）异常→触发方案</w:t>
      </w:r>
    </w:p>
    <w:p w14:paraId="259508D5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血清肌酐，尿白蛋白-肌酐比（UACR），尿蛋白中任一指标异常→不触发，提示：建议就医，进行专业评估</w:t>
      </w:r>
    </w:p>
    <w:p w14:paraId="0053965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5058893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4125987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（1）Omega-3 脂肪酸（EPA / DHA）：有助于降低肾脏相关低度炎症负担，支持肾小球微循环环境稳定。</w:t>
      </w:r>
    </w:p>
    <w:p w14:paraId="54C1071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（2）镁（甘氨酸镁或柠檬酸镁）：参与电解质与酸碱平衡调节，有助于支持肾脏排泄与神经肌肉稳态。</w:t>
      </w:r>
    </w:p>
    <w:p w14:paraId="4973C94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（3）维生素 B6：参与氨基酸与代谢废物转化，有助于降低肾脏代谢负担。</w:t>
      </w:r>
    </w:p>
    <w:p w14:paraId="24A4671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377AEBC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（1）饮水节律管理：分次、规律饮水，避免长时间不饮水或短时间大量饮水。</w:t>
      </w:r>
    </w:p>
    <w:p w14:paraId="08D5EB96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（2）避免肾毒性行为：避免长期自行使用止痛药、抗炎药或多种补充剂叠加使用。</w:t>
      </w:r>
    </w:p>
    <w:p w14:paraId="36F5CA8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（3）作息与恢复：保证充足睡眠，避免长期熬夜加重肾脏代谢压力。</w:t>
      </w:r>
    </w:p>
    <w:p w14:paraId="1F3A06B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（4）适度活动：保持规律中低强度活动，避免脱水型高强度运动。</w:t>
      </w:r>
    </w:p>
    <w:p w14:paraId="4EAC4495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48F3842F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（1）饮食结构原则：以清淡、低负荷饮食为主，每餐包含蔬菜+适量优质蛋白+复合碳水。</w:t>
      </w:r>
    </w:p>
    <w:p w14:paraId="2775D33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（2）蛋白摄入管理：避免集中高蛋白饮食，减少加工肉类，适当增加植物蛋白比例。</w:t>
      </w:r>
    </w:p>
    <w:p w14:paraId="743E4A9B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（3）钠与电解质管理：减少高盐、腌制与高度加工食品，避免隐形钠摄入过多。</w:t>
      </w:r>
    </w:p>
    <w:p w14:paraId="664F5469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（4）酸碱平衡支持：增加蔬菜与水果比例，减少长期高酸负荷饮食模式。</w:t>
      </w:r>
    </w:p>
    <w:p w14:paraId="272288E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425D5A4E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（1）功能性指标（尿 pH、SG）：首次触发干预后8–12周复测。</w:t>
      </w:r>
    </w:p>
    <w:p w14:paraId="5364C48C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（2）肾脏过滤指标（SCr、UACR、尿蛋白）：如出现异常，建议在专业指导下随访与复测。</w:t>
      </w:r>
    </w:p>
    <w:p w14:paraId="1BC1DB44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（3）长期随访：指标稳定后，可每3–6个月评估一次肾功能与体液平衡状态。</w:t>
      </w:r>
    </w:p>
    <w:p w14:paraId="1E2E665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（4）就医提示</w:t>
      </w:r>
    </w:p>
    <w:p w14:paraId="65701DB7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任一肾脏过滤损伤相关指标异常→建议就医评估</w:t>
      </w:r>
    </w:p>
    <w:p w14:paraId="055F4848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UACR 或尿蛋白持续异常→建议优先进行肾脏专科评估</w:t>
      </w:r>
    </w:p>
    <w:p w14:paraId="0897B3EA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多项指标异常或指标进行性恶化→建议尽快进行专业医疗评估</w:t>
      </w:r>
    </w:p>
    <w:p w14:paraId="4727CF4F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42B86CB0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（七）呼吸系统慢病风险筛查</w:t>
      </w:r>
    </w:p>
    <w:p w14:paraId="0ABBB99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CA6178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呼气一氧化氮（FeNO）</w:t>
      </w:r>
    </w:p>
    <w:p w14:paraId="41C2C46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第一秒呼出量百分比（FEV1%）</w:t>
      </w:r>
    </w:p>
    <w:p w14:paraId="414BD74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用力肺活量（FVC）</w:t>
      </w:r>
    </w:p>
    <w:p w14:paraId="1249D70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呼气流量峰值（PEF）</w:t>
      </w:r>
    </w:p>
    <w:p w14:paraId="524D78C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FEV1/FVC</w:t>
      </w:r>
    </w:p>
    <w:p w14:paraId="49B410A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慢性阻塞性肺疾病筛查工具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1178965A">
      <w:pPr>
        <w:spacing w:line="288" w:lineRule="auto"/>
        <w:rPr>
          <w:rFonts w:ascii="Times New Roman" w:hAnsi="Times New Roman" w:eastAsia="楷体"/>
          <w:b/>
          <w:bCs/>
          <w:sz w:val="24"/>
          <w:highlight w:val="none"/>
        </w:rPr>
      </w:pPr>
      <w:r>
        <w:rPr>
          <w:rFonts w:hint="eastAsia" w:ascii="Times New Roman" w:hAnsi="Times New Roman" w:eastAsia="楷体"/>
          <w:b/>
          <w:bCs/>
          <w:sz w:val="24"/>
          <w:highlight w:val="none"/>
        </w:rPr>
        <w:t>3. 方案触发条件</w:t>
      </w:r>
    </w:p>
    <w:p w14:paraId="086B44F4">
      <w:pPr>
        <w:wordWrap w:val="0"/>
        <w:ind w:firstLine="480" w:firstLineChars="200"/>
        <w:rPr>
          <w:rFonts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所有指标均处于正常区间→不触发</w:t>
      </w:r>
    </w:p>
    <w:p w14:paraId="5C396AF1">
      <w:pPr>
        <w:spacing w:line="288" w:lineRule="auto"/>
        <w:ind w:firstLine="480" w:firstLineChars="200"/>
        <w:rPr>
          <w:rFonts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其他异常</w:t>
      </w:r>
      <w:r>
        <w:rPr>
          <w:rFonts w:hint="eastAsia" w:ascii="Times New Roman" w:hAnsi="Times New Roman" w:eastAsia="楷体"/>
          <w:sz w:val="24"/>
          <w:highlight w:val="none"/>
        </w:rPr>
        <w:t>异常→触发方案</w:t>
      </w:r>
    </w:p>
    <w:p w14:paraId="2AFA5F4C">
      <w:pPr>
        <w:spacing w:line="288" w:lineRule="auto"/>
        <w:ind w:firstLine="480" w:firstLineChars="200"/>
        <w:rPr>
          <w:rFonts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只要</w:t>
      </w:r>
      <w:r>
        <w:rPr>
          <w:rFonts w:hint="eastAsia" w:ascii="Times New Roman" w:hAnsi="Times New Roman" w:eastAsia="楷体"/>
          <w:sz w:val="24"/>
          <w:highlight w:val="none"/>
        </w:rPr>
        <w:t>FEV1/FVC异常→不触发，提示：建议就医，进行专业评估</w:t>
      </w:r>
    </w:p>
    <w:p w14:paraId="78600E0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66A1A89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444C21E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DHA）：有助于调节气道炎症反应，支持呼吸道免疫与炎症平衡。</w:t>
      </w:r>
    </w:p>
    <w:p w14:paraId="191B857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 D₃：参与免疫调节并与气道炎症控制相关，有助于支持肺部防御功能。</w:t>
      </w:r>
    </w:p>
    <w:p w14:paraId="06E59D8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（3）镁（甘氨酸镁或柠檬酸镁）：参与支气管平滑肌调节，有助于支持气道舒张与呼吸舒适度。</w:t>
      </w:r>
    </w:p>
    <w:p w14:paraId="3F8DCF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25E414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（1）呼吸道刺激管理：避免烟雾、粉尘、冷空气及明显空气污染环境。</w:t>
      </w:r>
    </w:p>
    <w:p w14:paraId="2C81A0E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（2）呼吸训练：每日进行腹式呼吸或节律呼吸训练，以改善通气效率。</w:t>
      </w:r>
    </w:p>
    <w:p w14:paraId="7237EEA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（3）运动原则：中低强度有氧运动优先（快走、骑车），避免冷空气下高强度运动。</w:t>
      </w:r>
    </w:p>
    <w:p w14:paraId="0B3D63F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（4）作息与恢复：保证充足睡眠，避免长期熬夜加重炎症负担。</w:t>
      </w:r>
    </w:p>
    <w:p w14:paraId="0DB53CB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745F3F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（1）饮食结构原则：以抗炎饮食为导向，每餐包含蔬菜 + 优质蛋白 + 健康脂肪。</w:t>
      </w:r>
    </w:p>
    <w:p w14:paraId="0131E92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（2）减少促炎因素：减少高糖、高度加工食品与反式脂肪摄入。</w:t>
      </w:r>
    </w:p>
    <w:p w14:paraId="5DF446C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（3）水分管理：保持充足饮水，有助于气道分泌物稀释与排出。</w:t>
      </w:r>
    </w:p>
    <w:p w14:paraId="4D433148">
      <w:pPr>
        <w:spacing w:line="288" w:lineRule="auto"/>
        <w:rPr>
          <w:rFonts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D. 定期检测建议</w:t>
      </w:r>
    </w:p>
    <w:p w14:paraId="534F2C1C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指标：首次触发干预后 8–12 周复测，用于观察趋势变化。</w:t>
      </w:r>
    </w:p>
    <w:p w14:paraId="59A2EA1A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FEV1/FVC 异常者：建议在专业评估后按医嘱随访。</w:t>
      </w:r>
    </w:p>
    <w:p w14:paraId="1D9AB441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长期随访：指标稳定后，可每 3–6 个月评估一次呼吸系统状态。</w:t>
      </w:r>
    </w:p>
    <w:p w14:paraId="31687F08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就医提示</w:t>
      </w:r>
    </w:p>
    <w:p w14:paraId="283E7873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当出现以下任一情况时，系统将在干预方案同时提示就医：</w:t>
      </w:r>
    </w:p>
    <w:p w14:paraId="7898AF8C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FEV1/FVC异常</w:t>
      </w:r>
    </w:p>
    <w:p w14:paraId="1B812603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FEV1/FVC异常并伴随反复咳嗽、气促、喘息</w:t>
      </w:r>
    </w:p>
    <w:p w14:paraId="5D3F309A">
      <w:pPr>
        <w:spacing w:line="288" w:lineRule="auto"/>
        <w:rPr>
          <w:rFonts w:ascii="Times New Roman" w:hAnsi="Times New Roman" w:eastAsia="楷体"/>
          <w:sz w:val="24"/>
          <w:highlight w:val="yellow"/>
        </w:rPr>
      </w:pPr>
      <w:r>
        <w:rPr>
          <w:rFonts w:hint="eastAsia" w:ascii="Times New Roman" w:hAnsi="Times New Roman" w:eastAsia="楷体"/>
          <w:sz w:val="24"/>
          <w:highlight w:val="none"/>
        </w:rPr>
        <w:t>干预后肺功能指标持续下降</w:t>
      </w:r>
    </w:p>
    <w:p w14:paraId="27FA851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66DDB293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（八）情绪与心理状态风险评估</w:t>
      </w:r>
    </w:p>
    <w:p w14:paraId="45045C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为主观测评，无指标</w:t>
      </w:r>
    </w:p>
    <w:p w14:paraId="1ABA805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7EAE3C96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（九）高尿酸与痛风风险评估</w:t>
      </w:r>
    </w:p>
    <w:p w14:paraId="624C8F5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6023F64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血尿酸</w:t>
      </w:r>
    </w:p>
    <w:p w14:paraId="521ACB4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尿酸碱度（尿 pH）</w:t>
      </w:r>
    </w:p>
    <w:p w14:paraId="739892B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成人痛风风险评估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715BB82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60D4EC45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4899A66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尿酸碱度（尿 pH）指标异常→触发方案</w:t>
      </w:r>
    </w:p>
    <w:p w14:paraId="61F8B8D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≥2项异常，或血尿酸异常→触发方案+提示：建议就医，进行专业评估，以下为一般性建议，请在医生的指导下使用</w:t>
      </w:r>
    </w:p>
    <w:p w14:paraId="42DA968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73428E5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2AB386D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 C：有助于促进尿酸排泄并降低血尿酸水平，对高尿酸人群具有支持作用。</w:t>
      </w:r>
    </w:p>
    <w:p w14:paraId="7A7E825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（2）Omega-3 脂肪酸（EPA / DHA）：有助于减轻炎症反应，对痛风相关炎症（3）环境具有辅助支持作用。</w:t>
      </w:r>
    </w:p>
    <w:p w14:paraId="39DF983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镁（甘氨酸镁或柠檬酸镁）：参与酸碱与电解质平衡，有助于改善尿液环境并支持尿酸排泄。</w:t>
      </w:r>
    </w:p>
    <w:p w14:paraId="5E111D2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564C184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（1）饮水节律管理：分次、规律饮水，避免长时间不饮水或短时间大量饮水，以降低尿酸结晶风险。</w:t>
      </w:r>
    </w:p>
    <w:p w14:paraId="6EBC060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（2）体重与代谢管理：避免体重快速波动与肥胖状态加重尿酸生成。</w:t>
      </w:r>
    </w:p>
    <w:p w14:paraId="3D97DE1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（3）避免诱发因素：减少酒精摄入（尤其啤酒与烈酒），避免熬夜与急性应激。</w:t>
      </w:r>
    </w:p>
    <w:p w14:paraId="2FA97AA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（4）适度运动：规律中低强度运动优先，避免脱水型或极端高强度运动。</w:t>
      </w:r>
    </w:p>
    <w:p w14:paraId="1203E20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2C685B8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（1）饮食结构原则：以低嘌呤、均衡饮食为基础，每餐包含蔬菜+适量优质蛋白+复合碳水。</w:t>
      </w:r>
    </w:p>
    <w:p w14:paraId="24DEBF4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（2）蛋白来源管理：减少动物内脏、浓肉汤、部分海鲜等高嘌呤食物，优先选择乳制品与植物蛋白。</w:t>
      </w:r>
    </w:p>
    <w:p w14:paraId="325B2F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（3）减少不利摄入：减少含糖饮料、高果糖食品与高度加工食品，以免促进尿酸生成。</w:t>
      </w:r>
    </w:p>
    <w:p w14:paraId="79142D5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（4）碱性食物支持：适当增加蔬菜、水果比例，有助于改善尿液酸碱环境。</w:t>
      </w:r>
    </w:p>
    <w:p w14:paraId="25F78E5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877739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（1）血尿酸：首次触发干预后8–12周复测，用于评估生活方式调整效果。</w:t>
      </w:r>
    </w:p>
    <w:p w14:paraId="6BB3186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（2）尿 pH：可周期性监测，用于观察尿液环境变化趋势。</w:t>
      </w:r>
    </w:p>
    <w:p w14:paraId="4D8DAA4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（3）长期随访：若指标趋于稳定，可每3–6个月评估一次高尿酸与痛风风险状态。</w:t>
      </w:r>
    </w:p>
    <w:p w14:paraId="714A3A2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6AEF5CA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血尿酸异常 → 建议就医评估</w:t>
      </w:r>
    </w:p>
    <w:p w14:paraId="17A82A8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血尿酸持续升高或反复异常 → 建议进行专业评估</w:t>
      </w:r>
    </w:p>
    <w:p w14:paraId="3A2B077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出现关节红肿、疼痛或夜间急性发作 → 建议及时就医</w:t>
      </w:r>
    </w:p>
    <w:p w14:paraId="0BCEF69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23488183">
      <w:pPr>
        <w:spacing w:before="240" w:line="288" w:lineRule="auto"/>
        <w:rPr>
          <w:rFonts w:ascii="Times New Roman" w:hAnsi="Times New Roman" w:eastAsia="楷体"/>
          <w:sz w:val="28"/>
          <w:szCs w:val="28"/>
          <w:highlight w:val="none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>五、癌症早期风险检测</w:t>
      </w:r>
    </w:p>
    <w:p w14:paraId="589081CB">
      <w:pPr>
        <w:spacing w:line="288" w:lineRule="auto"/>
        <w:rPr>
          <w:rFonts w:hint="eastAsia" w:ascii="Times New Roman" w:hAnsi="Times New Roman" w:eastAsia="楷体"/>
          <w:sz w:val="28"/>
          <w:szCs w:val="28"/>
          <w:highlight w:val="red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>（一）多体液标志物早筛体系</w:t>
      </w:r>
    </w:p>
    <w:p w14:paraId="385D0886">
      <w:pPr>
        <w:spacing w:line="288" w:lineRule="auto"/>
        <w:rPr>
          <w:rFonts w:hint="eastAsia" w:ascii="Times New Roman" w:hAnsi="Times New Roman" w:eastAsia="楷体"/>
          <w:sz w:val="28"/>
          <w:szCs w:val="28"/>
          <w:highlight w:val="red"/>
        </w:rPr>
      </w:pPr>
      <w:r>
        <w:rPr>
          <w:rFonts w:hint="eastAsia" w:ascii="Times New Roman" w:hAnsi="Times New Roman" w:eastAsia="楷体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）</w:t>
      </w:r>
      <w:r>
        <w:rPr>
          <w:rFonts w:hint="eastAsia" w:ascii="Times New Roman" w:hAnsi="Times New Roman" w:eastAsia="楷体"/>
          <w:sz w:val="28"/>
          <w:szCs w:val="28"/>
        </w:rPr>
        <w:t>多癌种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</w:rPr>
        <w:t>险评估</w:t>
      </w:r>
    </w:p>
    <w:p w14:paraId="419336A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1FD1A0FD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</w:t>
      </w:r>
    </w:p>
    <w:p w14:paraId="0E0EEE10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高敏C反应蛋白（hs-CRP）</w:t>
      </w:r>
    </w:p>
    <w:p w14:paraId="6FF422ED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白细胞计数</w:t>
      </w:r>
    </w:p>
    <w:p w14:paraId="1D932AE5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呼气一氧化氮（FeNO）</w:t>
      </w:r>
    </w:p>
    <w:p w14:paraId="4A2B9AE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丙二醛</w:t>
      </w:r>
    </w:p>
    <w:p w14:paraId="26215B92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8-羟基脱氧鸟苷</w:t>
      </w:r>
    </w:p>
    <w:p w14:paraId="262CEA2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肿瘤坏死因子α</w:t>
      </w:r>
    </w:p>
    <w:p w14:paraId="46105528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白细胞介素-6</w:t>
      </w:r>
    </w:p>
    <w:p w14:paraId="3DD08A90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白细胞介素-8</w:t>
      </w:r>
    </w:p>
    <w:p w14:paraId="110CC74B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亚硝酸根（呼气）</w:t>
      </w:r>
    </w:p>
    <w:p w14:paraId="08CEB145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亚硝酸根（唾液）</w:t>
      </w:r>
    </w:p>
    <w:p w14:paraId="2B7E52DE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8-异前列腺F₂α素</w:t>
      </w:r>
    </w:p>
    <w:p w14:paraId="4DD64F90">
      <w:pPr>
        <w:spacing w:line="288" w:lineRule="auto"/>
        <w:rPr>
          <w:rFonts w:ascii="Times New Roman" w:hAnsi="Times New Roman" w:eastAsia="楷体"/>
          <w:b/>
          <w:bCs/>
          <w:sz w:val="24"/>
          <w:highlight w:val="yellow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</w:rPr>
        <w:t>患癌风险评估</w:t>
      </w:r>
    </w:p>
    <w:p w14:paraId="11233A6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C62184C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C09A35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其他情况</w:t>
      </w:r>
      <w:r>
        <w:rPr>
          <w:rFonts w:hint="eastAsia" w:ascii="Times New Roman" w:hAnsi="Times New Roman" w:eastAsia="楷体"/>
          <w:sz w:val="24"/>
        </w:rPr>
        <w:t>异常→触发方案</w:t>
      </w:r>
    </w:p>
    <w:p w14:paraId="70C5137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出现</w:t>
      </w:r>
      <w:r>
        <w:rPr>
          <w:rFonts w:hint="eastAsia" w:ascii="Times New Roman" w:hAnsi="Times New Roman" w:eastAsia="楷体"/>
          <w:sz w:val="24"/>
        </w:rPr>
        <w:t>高敏C反应蛋白（hs-CRP）</w:t>
      </w:r>
      <w:r>
        <w:rPr>
          <w:rFonts w:hint="eastAsia" w:ascii="Times New Roman" w:hAnsi="Times New Roman" w:eastAsia="楷体"/>
          <w:sz w:val="24"/>
          <w:lang w:val="en-US" w:eastAsia="zh-CN"/>
        </w:rPr>
        <w:t>+</w:t>
      </w:r>
      <w:r>
        <w:rPr>
          <w:rFonts w:hint="eastAsia" w:ascii="Times New Roman" w:hAnsi="Times New Roman" w:eastAsia="楷体"/>
          <w:sz w:val="24"/>
        </w:rPr>
        <w:t>白细胞计数</w:t>
      </w:r>
      <w:r>
        <w:rPr>
          <w:rFonts w:hint="eastAsia" w:ascii="Times New Roman" w:hAnsi="Times New Roman" w:eastAsia="楷体"/>
          <w:sz w:val="24"/>
          <w:lang w:eastAsia="zh-CN"/>
        </w:rPr>
        <w:t>，</w:t>
      </w:r>
      <w:r>
        <w:rPr>
          <w:rFonts w:hint="eastAsia" w:ascii="Times New Roman" w:hAnsi="Times New Roman" w:eastAsia="楷体"/>
          <w:sz w:val="24"/>
        </w:rPr>
        <w:t>幽门螺杆菌呼气试验（HP UBT）</w:t>
      </w:r>
      <w:r>
        <w:rPr>
          <w:rFonts w:hint="eastAsia" w:ascii="Times New Roman" w:hAnsi="Times New Roman" w:eastAsia="楷体"/>
          <w:sz w:val="24"/>
          <w:lang w:val="en-US" w:eastAsia="zh-CN"/>
        </w:rPr>
        <w:t>出现</w:t>
      </w:r>
      <w:r>
        <w:rPr>
          <w:rFonts w:hint="eastAsia" w:ascii="Times New Roman" w:hAnsi="Times New Roman" w:eastAsia="楷体"/>
          <w:sz w:val="24"/>
        </w:rPr>
        <w:t>→触发方案+提示：建议就医，进行专业评估，以下为一般性建议，请在医生的指导下使用</w:t>
      </w:r>
    </w:p>
    <w:p w14:paraId="4F6BBD3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2113E98C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A. 营养补充建议</w:t>
      </w:r>
    </w:p>
    <w:p w14:paraId="79E3CE28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Omega-3 脂肪酸（EPA / DHA）：有助于调节慢性炎症反应，降低炎症相关风险背景。</w:t>
      </w:r>
    </w:p>
    <w:p w14:paraId="2EF38174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维生素D₃：参与免疫调节，与多种癌症风险的炎症通路相关。</w:t>
      </w:r>
    </w:p>
    <w:p w14:paraId="34E89E88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硒（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有机硒</w:t>
      </w:r>
      <w:r>
        <w:rPr>
          <w:rFonts w:hint="eastAsia" w:ascii="Times New Roman" w:hAnsi="Times New Roman" w:eastAsia="楷体"/>
          <w:sz w:val="24"/>
          <w:highlight w:val="none"/>
        </w:rPr>
        <w:t>）：支持抗氧化与免疫稳态，对慢性炎症背景有支持作用。</w:t>
      </w:r>
    </w:p>
    <w:p w14:paraId="50A3F935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B. 生活方式建议</w:t>
      </w:r>
    </w:p>
    <w:p w14:paraId="0263C895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感染与炎症管理：如存在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幽门螺杆菌</w:t>
      </w:r>
      <w:r>
        <w:rPr>
          <w:rFonts w:hint="eastAsia" w:ascii="Times New Roman" w:hAnsi="Times New Roman" w:eastAsia="楷体"/>
          <w:sz w:val="24"/>
          <w:highlight w:val="none"/>
        </w:rPr>
        <w:t>感染风险，避免自行用药，按医嘱处理。</w:t>
      </w:r>
    </w:p>
    <w:p w14:paraId="6DD10C95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戒烟限酒：烟酒是炎症与多癌种风险的重要叠加因素。</w:t>
      </w:r>
    </w:p>
    <w:p w14:paraId="6EB96A86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规律作息与压力管理：长期压力与睡眠不足会加重免疫失衡。</w:t>
      </w:r>
    </w:p>
    <w:p w14:paraId="1912670A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适度运动：规律中低强度运动有助于降低慢性炎症水平。</w:t>
      </w:r>
    </w:p>
    <w:p w14:paraId="4A10E0BA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C. 饮食建议</w:t>
      </w:r>
    </w:p>
    <w:p w14:paraId="0A1E4F0D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抗炎饮食结构：高蔬菜、高纤维、低加工食品。</w:t>
      </w:r>
    </w:p>
    <w:p w14:paraId="633C59AE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减少促炎因素：控制高盐、腌制、烧烤及高糖饮食。</w:t>
      </w:r>
    </w:p>
    <w:p w14:paraId="2BE22BDD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肠道健康支持：增加富含益生元的食物，改善肠道免疫环境。</w:t>
      </w:r>
    </w:p>
    <w:p w14:paraId="1E52CADB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D. 定期检测建议</w:t>
      </w:r>
    </w:p>
    <w:p w14:paraId="12EBECDF">
      <w:pPr>
        <w:spacing w:line="288" w:lineRule="auto"/>
        <w:rPr>
          <w:rFonts w:hint="eastAsia" w:ascii="Times New Roman" w:hAnsi="Times New Roman" w:eastAsia="楷体"/>
          <w:sz w:val="24"/>
          <w:highlight w:val="none"/>
          <w:lang w:eastAsia="zh-CN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高敏C反应蛋白（hs-CRP）、白细胞计数、呼气一氧化氮（FeNO）、丙二醛、8-羟基脱氧鸟苷、肿瘤坏死因子α、白细胞介素-6、白细胞介素-8、亚硝酸根（呼气）、亚硝酸根（唾液）、8-异前列腺F₂α素指标：首次触发干预后 8–12 周复测。</w:t>
      </w:r>
    </w:p>
    <w:p w14:paraId="54F3054F">
      <w:pPr>
        <w:spacing w:line="288" w:lineRule="auto"/>
        <w:rPr>
          <w:rFonts w:hint="eastAsia" w:ascii="Times New Roman" w:hAnsi="Times New Roman" w:eastAsia="楷体"/>
          <w:sz w:val="24"/>
          <w:highlight w:val="none"/>
          <w:lang w:eastAsia="zh-CN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</w:rPr>
        <w:t>幽门螺杆菌呼气试验（HP UBT）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：异常者按医学处理后复测。</w:t>
      </w:r>
    </w:p>
    <w:p w14:paraId="1BF587AE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）长期随访：指标稳定后 每 3–6 个月评估一次风险背景。</w:t>
      </w:r>
    </w:p>
    <w:p w14:paraId="681D4644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highlight w:val="none"/>
        </w:rPr>
        <w:t>就医提示</w:t>
      </w:r>
    </w:p>
    <w:p w14:paraId="519C595C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当出现以下情况之一时，系统将在干预方案同时提示就医：</w:t>
      </w:r>
    </w:p>
    <w:p w14:paraId="7F192172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幽门螺杆菌呼气试验（HP UBT）异常</w:t>
      </w:r>
    </w:p>
    <w:p w14:paraId="153C9A02">
      <w:pPr>
        <w:spacing w:line="288" w:lineRule="auto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</w:rPr>
        <w:t>hs-CRP与白细胞计数同时异常</w:t>
      </w:r>
    </w:p>
    <w:p w14:paraId="5D0DAEB3">
      <w:pPr>
        <w:spacing w:line="288" w:lineRule="auto"/>
        <w:rPr>
          <w:rFonts w:ascii="Times New Roman" w:hAnsi="Times New Roman" w:eastAsia="楷体"/>
          <w:sz w:val="24"/>
          <w:highlight w:val="red"/>
        </w:rPr>
      </w:pPr>
      <w:r>
        <w:rPr>
          <w:rFonts w:hint="eastAsia" w:ascii="Times New Roman" w:hAnsi="Times New Roman" w:eastAsia="楷体"/>
          <w:sz w:val="24"/>
          <w:highlight w:val="none"/>
        </w:rPr>
        <w:t>干预后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多项</w:t>
      </w:r>
      <w:r>
        <w:rPr>
          <w:rFonts w:hint="eastAsia" w:ascii="Times New Roman" w:hAnsi="Times New Roman" w:eastAsia="楷体"/>
          <w:sz w:val="24"/>
          <w:highlight w:val="none"/>
        </w:rPr>
        <w:t>指标持续异常</w:t>
      </w:r>
    </w:p>
    <w:p w14:paraId="4DB3DF88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六、功能优化与系统恢复</w:t>
      </w:r>
    </w:p>
    <w:p w14:paraId="5CB69E51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（一）免疫平衡与抗炎调节</w:t>
      </w:r>
    </w:p>
    <w:p w14:paraId="2AEBDC54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15D8089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高敏 C 反应蛋白（hs-CRP）</w:t>
      </w:r>
    </w:p>
    <w:p w14:paraId="203180A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白细胞计数</w:t>
      </w:r>
    </w:p>
    <w:p w14:paraId="6BC87C8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呼气一氧化氮（FeNO）</w:t>
      </w:r>
    </w:p>
    <w:p w14:paraId="1644D8E4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 关联模型：</w:t>
      </w:r>
      <w:r>
        <w:rPr>
          <w:rFonts w:hint="eastAsia" w:ascii="Times New Roman" w:hAnsi="Times New Roman" w:eastAsia="楷体"/>
          <w:sz w:val="24"/>
          <w:highlight w:val="yellow"/>
        </w:rPr>
        <w:t>成人免疫健康状态评估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0F484C6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DFF401F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0D50FF4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其他情况→触发方案</w:t>
      </w:r>
    </w:p>
    <w:p w14:paraId="5FF2C90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高敏 C 反应蛋白（hs-CRP）与白细胞计数同时异常，不论呼气一氧化氮（FeNO）异常不异常→触发方案+提示：建议就医，进行专业评估，以下为一般性建议，请在医生的指导下使用</w:t>
      </w:r>
    </w:p>
    <w:p w14:paraId="4CEB98D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7C1F41D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6511EBB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DHA）：有助于调节炎症介质生成，支持系统性与局部炎症负荷下降。</w:t>
      </w:r>
    </w:p>
    <w:p w14:paraId="05FA7F1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 D₃：参与免疫调节与炎症控制，有助于维持免疫反应的平衡状态。</w:t>
      </w:r>
    </w:p>
    <w:p w14:paraId="3708195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（3）锌（葡萄糖酸锌/硫酸锌/柠檬酸锌）：支持免疫细胞功能与炎症反应调控，对免疫稳态具有基础支持作用。</w:t>
      </w:r>
    </w:p>
    <w:p w14:paraId="271A3F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1C6ABE0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（1）炎症负荷管理：避免长期熬夜、过度劳累与持续高压状态，以减少免疫系统过度激活。</w:t>
      </w:r>
    </w:p>
    <w:p w14:paraId="085F294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（2）身体活动原则：保持规律中低强度活动（快走、拉伸），避免炎症状态下高强度训练。</w:t>
      </w:r>
    </w:p>
    <w:p w14:paraId="3E9E35D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（3）感染与暴露管理：注意个人卫生与环境清洁，减少不必要的炎症诱因。</w:t>
      </w:r>
    </w:p>
    <w:p w14:paraId="72F5A45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（4）睡眠与恢复：保证7–8小时睡眠，为免疫系统提供充分恢复时间。</w:t>
      </w:r>
    </w:p>
    <w:p w14:paraId="4CC4427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42A4147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（1）饮食结构原则：以抗炎饮食为导向，每餐包含蔬菜 + 优质蛋白 + 健康脂肪。</w:t>
      </w:r>
    </w:p>
    <w:p w14:paraId="79FE840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（2）脂肪结构优化：增加深海鱼、橄榄油、坚果等不饱和脂肪，减少反式脂肪。</w:t>
      </w:r>
    </w:p>
    <w:p w14:paraId="5E78A3E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（3）减少促炎因素：控制高糖饮料、酒精及高度加工食品摄入。</w:t>
      </w:r>
    </w:p>
    <w:p w14:paraId="220747C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751B89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（1）高敏 C 反应蛋白（hs-CRP） / 白细胞计数：首次触发干预后 8–12 周复测，用于观察系统性炎症变化。</w:t>
      </w:r>
    </w:p>
    <w:p w14:paraId="78D7AC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（2）呼气一氧化氮（FeNO）：如出现异常，可在干预后周期性复测，观察气道炎症趋势。</w:t>
      </w:r>
    </w:p>
    <w:p w14:paraId="2BAF436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（3）长期随访：指标稳定后，可每 3–6 个月评估一次免疫与炎症状态。</w:t>
      </w:r>
    </w:p>
    <w:p w14:paraId="6B4C265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就医提示</w:t>
      </w:r>
    </w:p>
    <w:p w14:paraId="76F01D6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高敏 C 反应蛋白（hs-CRP） + 白细胞计数同时异常 → 建议就医评估</w:t>
      </w:r>
    </w:p>
    <w:p w14:paraId="3721B54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系统性炎症指标异常并伴随呼气一氧化氮（FeNO）异常 → 建议进行专业评估</w:t>
      </w:r>
    </w:p>
    <w:p w14:paraId="1A6581B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伴随发热、明显不适或症状加重 → 建议及时就医</w:t>
      </w:r>
    </w:p>
    <w:p w14:paraId="6AC975D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54C4CD21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（二）内分泌与激素稳态调节</w:t>
      </w:r>
    </w:p>
    <w:p w14:paraId="15B7F1F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4D2239F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空腹胰岛素（FINS）</w:t>
      </w:r>
    </w:p>
    <w:p w14:paraId="62CD7EE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性激素基础信号（睾酮）</w:t>
      </w:r>
    </w:p>
    <w:p w14:paraId="75D275B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</w:t>
      </w:r>
    </w:p>
    <w:p w14:paraId="4D385E7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唾液皮质醇（深夜）</w:t>
      </w:r>
    </w:p>
    <w:p w14:paraId="75AC7CC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甲状腺功能计算器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05A1BF6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46C3598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7343A0C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单一指标异常情况→触发方案</w:t>
      </w:r>
    </w:p>
    <w:p w14:paraId="4944D53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唾液皮质醇（早晨）与唾液皮质醇（深夜）同时异常→触发方案+提示：建议就医，进行专业评估，以下为一般性建议，请在医生的指导下使用</w:t>
      </w:r>
    </w:p>
    <w:p w14:paraId="2EBEC0E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注：空腹胰岛素（FINS），性激素基础信号（睾酮）不参与就医提示逻辑触发</w:t>
      </w:r>
    </w:p>
    <w:p w14:paraId="684B8C9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2E7AC3D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7BE4EE3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（1）镁（甘氨酸镁或苏糖酸镁）：有助于调节神经兴奋性与胰岛素信号通路，支持应激状态下的激素稳态。</w:t>
      </w:r>
    </w:p>
    <w:p w14:paraId="6821C9F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（2）Omega-3 脂肪酸（EPA / DHA）：有助于改善代谢炎症环境，支持胰岛素与性激素轴的稳定运行。</w:t>
      </w:r>
    </w:p>
    <w:p w14:paraId="373967A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（3）维生素 B6：参与激素与神经递质合成，有助于支持能量代谢与压力适应能力。</w:t>
      </w:r>
    </w:p>
    <w:p w14:paraId="581B28B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生活方式建议</w:t>
      </w:r>
    </w:p>
    <w:p w14:paraId="22892C9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（1）睡眠与节律管理：固定入睡与起床时间，避免熬夜，以支持皮质醇昼夜节律恢复。</w:t>
      </w:r>
    </w:p>
    <w:p w14:paraId="048689C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（2）压力负荷管理：每日安排放松活动（如呼吸训练、拉伸、冥想），避免长期高压但无恢复状态。</w:t>
      </w:r>
    </w:p>
    <w:p w14:paraId="4038C99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（3）身体活动原则：规律中低强度运动优先，避免长期高强度训练加重激素应激反应。</w:t>
      </w:r>
    </w:p>
    <w:p w14:paraId="6A72231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（4）进食节律管理：固定三餐时间，避免夜宵与频繁加餐干扰激素节律。</w:t>
      </w:r>
    </w:p>
    <w:p w14:paraId="5997891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5B66D30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（1）饮食结构原则：每餐包含优质蛋白+复合碳水+蔬菜，以支持胰岛素与性激素稳态。</w:t>
      </w:r>
    </w:p>
    <w:p w14:paraId="5233CFA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（2）避免刺激性摄入：减少咖啡因、酒精及高糖饮食，尤其在晚间。</w:t>
      </w:r>
    </w:p>
    <w:p w14:paraId="6A1F2F2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（3）脂肪结构支持：适度摄入坚果、橄榄油、深海鱼等健康脂肪，为激素合成提供基础环境。</w:t>
      </w:r>
    </w:p>
    <w:p w14:paraId="277F4A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51A5A55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（1）空腹胰岛素（FINS）/睾酮：首次触发干预后8–12周复测，用于评估代谢与激素调整效果。</w:t>
      </w:r>
    </w:p>
    <w:p w14:paraId="797E644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（2）唾液皮质醇（早晨/深夜）：干预后8–12周复测，用于观察昼夜节律是否恢复。</w:t>
      </w:r>
    </w:p>
    <w:p w14:paraId="6599044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（3）长期随访：指标稳定后，可每3–6个月评估一次内分泌稳态趋势。</w:t>
      </w:r>
    </w:p>
    <w:p w14:paraId="71EB715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26EF5A3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72EF8A2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唾液皮质醇（早晨）与唾液皮质醇（深夜）同时异常</w:t>
      </w:r>
    </w:p>
    <w:p w14:paraId="3A5809E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长期睡眠节律紊乱，伴随明显疲劳、情绪波动或体重异常变化</w:t>
      </w:r>
    </w:p>
    <w:p w14:paraId="6CF320A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执行支持性干预后，皮质醇节律持续异常</w:t>
      </w:r>
    </w:p>
    <w:p w14:paraId="62E2112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</w:p>
    <w:p w14:paraId="79402D4C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（三）肝脏解毒与代谢功能恢复</w:t>
      </w:r>
    </w:p>
    <w:p w14:paraId="0304E76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41BD262F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丙氨酸氨基转移酶（ALT）</w:t>
      </w:r>
    </w:p>
    <w:p w14:paraId="4AD560A6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天门冬氨酸氨基转移酶（AST）</w:t>
      </w:r>
    </w:p>
    <w:p w14:paraId="44144BFA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总胆红素（TBil）</w:t>
      </w:r>
    </w:p>
    <w:p w14:paraId="2CB6D360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</w:rPr>
        <w:t>脂肪肝风险评估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17F1F57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4C65F5D6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78D3BD6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丙氨酸氨基转移酶（ALT）或天门冬氨酸氨基转移酶（AST）指标异常情况→触发方案</w:t>
      </w:r>
    </w:p>
    <w:p w14:paraId="49BBAE9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其他情况→触发方案+提示：建议就医，进行专业评估，以下为一般性建议，请在医生的指导下使用</w:t>
      </w:r>
    </w:p>
    <w:p w14:paraId="139B3F93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45B5BDE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734C64F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DHA）：有助于改善肝脏脂质代谢环境，降低肝脏炎症与代谢负担。</w:t>
      </w:r>
    </w:p>
    <w:p w14:paraId="006EEF0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（2）维生素B族复合维生素：参与肝脏解毒与能量代谢过程，有助于支持肝细胞功能恢复。</w:t>
      </w:r>
    </w:p>
    <w:p w14:paraId="09B06DC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（3）胆碱：有助于脂质转运与肝脏脂肪代谢，支持肝脏解毒功能。</w:t>
      </w:r>
    </w:p>
    <w:p w14:paraId="598F14B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生活方式建议</w:t>
      </w:r>
    </w:p>
    <w:p w14:paraId="1AB5341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（1）酒精管理：避免饮酒或严格限制酒精摄入，尤其在指标异常期间。</w:t>
      </w:r>
    </w:p>
    <w:p w14:paraId="79349B2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（2）药物与补充剂管理：避免自行叠加使用保健品或长期使用可能增加肝脏负担的药物。</w:t>
      </w:r>
    </w:p>
    <w:p w14:paraId="574A3A4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（3）作息与恢复：保证充足睡眠，避免熬夜，以支持肝脏夜间代谢与修复。</w:t>
      </w:r>
    </w:p>
    <w:p w14:paraId="6DB3DD6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（4）身体活动原则：规律中低强度运动优先，避免极端高强度训练加重肝脏负担。</w:t>
      </w:r>
    </w:p>
    <w:p w14:paraId="10E0219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6CF2993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（1）饮食结构原则：以清淡、低负担饮食为主，每餐包含蔬菜 + 优质蛋白 + 适量复合碳水。</w:t>
      </w:r>
    </w:p>
    <w:p w14:paraId="5B5F3EE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（2）脂肪质量管理：减少油炸、高饱和脂肪食物，选择橄榄油、坚果等健康脂肪来源。</w:t>
      </w:r>
    </w:p>
    <w:p w14:paraId="70B7ADD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（3）避免促损伤因素：减少高糖饮食、含糖饮料与高度加工食品摄入。</w:t>
      </w:r>
    </w:p>
    <w:p w14:paraId="764BD48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3549316B">
      <w:pPr>
        <w:spacing w:line="288" w:lineRule="auto"/>
        <w:ind w:firstLine="240" w:firstLineChars="1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（1）丙氨酸氨基转移酶（ALT）/天门冬氨酸氨基转移酶（AST）：首次触发干预后 8–12 周复测，用于观察肝细胞负担变化。</w:t>
      </w:r>
    </w:p>
    <w:p w14:paraId="7E224EF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（2）总胆红素（TBil）：如出现异常，建议在专业指导下复测与随访。</w:t>
      </w:r>
    </w:p>
    <w:p w14:paraId="0831CD2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（3）长期随访：指标稳定后，可每 3–6 个月评估一次肝脏解毒与代谢功能趋势。</w:t>
      </w:r>
    </w:p>
    <w:p w14:paraId="112BFA2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就医提示</w:t>
      </w:r>
    </w:p>
    <w:p w14:paraId="7A7F33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当出现以下任一情况时，系统将在干预方案同时提示就医：</w:t>
      </w:r>
    </w:p>
    <w:p w14:paraId="1271EED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总胆红素（TBil）异常</w:t>
      </w:r>
    </w:p>
    <w:p w14:paraId="3CD899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丙氨酸氨基转移酶（ALT）</w:t>
      </w:r>
      <w:r>
        <w:rPr>
          <w:rFonts w:hint="eastAsia" w:ascii="Times New Roman" w:hAnsi="Times New Roman" w:eastAsia="楷体"/>
          <w:sz w:val="24"/>
          <w:lang w:val="en-US" w:eastAsia="zh-CN"/>
        </w:rPr>
        <w:t>和</w:t>
      </w:r>
      <w:r>
        <w:rPr>
          <w:rFonts w:hint="eastAsia" w:ascii="Times New Roman" w:hAnsi="Times New Roman" w:eastAsia="楷体"/>
          <w:sz w:val="24"/>
        </w:rPr>
        <w:t>天门冬氨酸氨基转移酶（AST）异常同时伴随总胆红素（TBil）指标持续异常或伴随明显不适（如乏力、食欲下降、皮肤或巩膜发黄）</w:t>
      </w:r>
    </w:p>
    <w:p w14:paraId="7092AB2B">
      <w:pPr>
        <w:spacing w:line="288" w:lineRule="auto"/>
        <w:rPr>
          <w:rFonts w:ascii="Times New Roman" w:hAnsi="Times New Roman" w:eastAsia="楷体"/>
          <w:sz w:val="28"/>
          <w:szCs w:val="28"/>
        </w:rPr>
      </w:pPr>
    </w:p>
    <w:p w14:paraId="179795C2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（四）视觉与眼部健康防护</w:t>
      </w:r>
    </w:p>
    <w:p w14:paraId="5C86D0C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7807CB7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对比敏感度</w:t>
      </w:r>
    </w:p>
    <w:p w14:paraId="669795C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色觉</w:t>
      </w:r>
    </w:p>
    <w:p w14:paraId="4E0D00D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眼压</w:t>
      </w:r>
    </w:p>
    <w:p w14:paraId="301C7ED9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 关联模型：青光眼风险预测工具 </w:t>
      </w:r>
    </w:p>
    <w:p w14:paraId="5F9CC372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8FCE55C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1B62C6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其他</w:t>
      </w:r>
      <w:r>
        <w:rPr>
          <w:rFonts w:hint="eastAsia" w:ascii="Times New Roman" w:hAnsi="Times New Roman" w:eastAsia="楷体"/>
          <w:sz w:val="24"/>
        </w:rPr>
        <w:t>异常</w:t>
      </w:r>
      <w:r>
        <w:rPr>
          <w:rFonts w:hint="eastAsia" w:ascii="Times New Roman" w:hAnsi="Times New Roman" w:eastAsia="楷体"/>
          <w:sz w:val="24"/>
          <w:lang w:val="en-US" w:eastAsia="zh-CN"/>
        </w:rPr>
        <w:t>情况</w:t>
      </w:r>
      <w:r>
        <w:rPr>
          <w:rFonts w:hint="eastAsia" w:ascii="Times New Roman" w:hAnsi="Times New Roman" w:eastAsia="楷体"/>
          <w:sz w:val="24"/>
        </w:rPr>
        <w:t>→触发方案</w:t>
      </w:r>
    </w:p>
    <w:p w14:paraId="1EFEDAD7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  <w:lang w:val="en-US" w:eastAsia="zh-CN"/>
        </w:rPr>
        <w:t>只要</w:t>
      </w:r>
      <w:r>
        <w:rPr>
          <w:rFonts w:hint="eastAsia" w:ascii="Times New Roman" w:hAnsi="Times New Roman" w:eastAsia="楷体"/>
          <w:sz w:val="24"/>
        </w:rPr>
        <w:t>眼压异常→触发方案+提示：建议就医，进行专业评估，以下为一般性建议，请在医生的指导下使用</w:t>
      </w:r>
    </w:p>
    <w:p w14:paraId="4F8ED7EE">
      <w:pPr>
        <w:wordWrap w:val="0"/>
        <w:rPr>
          <w:rFonts w:ascii="Times New Roman" w:hAnsi="Times New Roman" w:eastAsia="楷体"/>
          <w:b/>
          <w:bCs/>
          <w:sz w:val="24"/>
          <w:highlight w:val="none"/>
        </w:rPr>
      </w:pPr>
      <w:r>
        <w:rPr>
          <w:rFonts w:hint="eastAsia" w:ascii="Times New Roman" w:hAnsi="Times New Roman" w:eastAsia="楷体"/>
          <w:b/>
          <w:bCs/>
          <w:sz w:val="24"/>
          <w:highlight w:val="none"/>
        </w:rPr>
        <w:t>4. 具体方案：</w:t>
      </w:r>
    </w:p>
    <w:p w14:paraId="28F64CFA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A. 营养补充建议</w:t>
      </w:r>
    </w:p>
    <w:p w14:paraId="5AD0250B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叶黄素 + 玉米黄质：有助于支持视网膜黄斑区功能，改善视觉对比敏感度。</w:t>
      </w:r>
    </w:p>
    <w:p w14:paraId="69B7DA84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Omega-3 脂肪酸（DHA / EPA）：支持视网膜细胞膜稳定与泪膜健康，缓解视觉疲劳。</w:t>
      </w:r>
    </w:p>
    <w:p w14:paraId="191CCB5B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维生素 A：参与视觉信号传导与暗适应过程，支持整体视觉功能。</w:t>
      </w:r>
    </w:p>
    <w:p w14:paraId="362EA0FE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B. 生活方式</w:t>
      </w:r>
    </w:p>
    <w:p w14:paraId="05E1CBEA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用眼节律管理：遵循 20–20–20 原则（每 20 分钟看 20 英尺外 20 秒）。</w:t>
      </w:r>
    </w:p>
    <w:p w14:paraId="631F32A5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屏幕与光照管理：避免强光直射与昏暗环境用眼，调整屏幕亮度与对比度。</w:t>
      </w:r>
    </w:p>
    <w:p w14:paraId="0420A12E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眼部放松：每日进行眼球转动、远近交替注视等放松训练。</w:t>
      </w:r>
    </w:p>
    <w:p w14:paraId="0D73C4CB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睡眠支持：保证充足睡眠，有助于视觉系统恢复。</w:t>
      </w:r>
    </w:p>
    <w:p w14:paraId="102D7D12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C. 饮食建议</w:t>
      </w:r>
    </w:p>
    <w:p w14:paraId="0C219E95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富含类胡萝卜素食物：深绿色、橙黄色蔬菜（菠菜、胡萝卜、南瓜）。</w:t>
      </w:r>
    </w:p>
    <w:p w14:paraId="3A994C2A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优质脂肪来源：深海鱼、坚果，有助于脂溶性维生素吸收。</w:t>
      </w:r>
    </w:p>
    <w:p w14:paraId="7024AB7A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减少不利因素：控制高糖、高度加工食品，避免加重眼部氧化压力。</w:t>
      </w:r>
    </w:p>
    <w:p w14:paraId="69FA87AE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D. 定期检测建议</w:t>
      </w:r>
    </w:p>
    <w:p w14:paraId="2BBC1E9D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视觉对比敏感度 / 色觉：首次触发干预后 8–12 周复测，观察功能恢复情况。</w:t>
      </w:r>
    </w:p>
    <w:p w14:paraId="7FB83BB2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眼压：如出现异常，建议在专业指导下复测与随访。</w:t>
      </w:r>
    </w:p>
    <w:p w14:paraId="55F47604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长期随访：指标稳定后，可每 6–12 个月评估一次眼部健康状态。</w:t>
      </w:r>
    </w:p>
    <w:p w14:paraId="082FD4A4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</w:rPr>
        <w:t>就医提示</w:t>
      </w:r>
    </w:p>
    <w:p w14:paraId="15A6BA38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当出现以下情况之一时，系统将在干预方案同时提示就医：</w:t>
      </w:r>
    </w:p>
    <w:p w14:paraId="1CE14AC8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眼压异常</w:t>
      </w:r>
    </w:p>
    <w:p w14:paraId="5E27A517">
      <w:pPr>
        <w:spacing w:line="288" w:lineRule="auto"/>
        <w:rPr>
          <w:rFonts w:hint="eastAsia"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眼压异常并伴随视力下降、视野变化或眼胀不适</w:t>
      </w:r>
    </w:p>
    <w:p w14:paraId="0D1D1A50">
      <w:pPr>
        <w:spacing w:line="288" w:lineRule="auto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干预后眼压持续异常</w:t>
      </w:r>
    </w:p>
    <w:p w14:paraId="0A7DB7CE">
      <w:pPr>
        <w:spacing w:line="288" w:lineRule="auto"/>
        <w:ind w:firstLine="480" w:firstLineChars="200"/>
        <w:rPr>
          <w:rFonts w:ascii="Times New Roman" w:hAnsi="Times New Roman" w:eastAsia="楷体" w:cs="Times New Roman"/>
          <w:sz w:val="24"/>
        </w:rPr>
      </w:pPr>
    </w:p>
    <w:p w14:paraId="435C1310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（五）肠道菌群平衡优化</w:t>
      </w:r>
    </w:p>
    <w:p w14:paraId="7C2791B5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2FCD1E6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呼气氢气</w:t>
      </w:r>
    </w:p>
    <w:p w14:paraId="1B29723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呼气甲烷（CH₄）</w:t>
      </w:r>
    </w:p>
    <w:p w14:paraId="28C78BD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</w:t>
      </w:r>
    </w:p>
    <w:p w14:paraId="24CED5A7">
      <w:pPr>
        <w:spacing w:line="288" w:lineRule="auto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暂无</w:t>
      </w:r>
    </w:p>
    <w:p w14:paraId="4CF92F7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7D1B2E4C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04921D83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呼气氢气，呼气甲烷（CH₄）任一指标异常或两个指标同时异常→触发方案</w:t>
      </w:r>
    </w:p>
    <w:p w14:paraId="4B04E0A9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UBT）异常，不管其他指标是否异常→触发方案+提示：建议就医，进行专业评估，以下为一般性建议，请在医生的指导下使用</w:t>
      </w:r>
    </w:p>
    <w:p w14:paraId="11B552F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5EFF65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6CD197E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（1）益生菌（含双歧杆菌、乳酸杆菌复合制剂）：有助于调节肠道菌群结构，改善异常发酵模式。</w:t>
      </w:r>
    </w:p>
    <w:p w14:paraId="1025134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（2）可溶性膳食纤维（如洋车前子壳、部分低发酵纤维）：有助于平衡肠道发酵节律，改善氢气或甲烷偏高相关问题。</w:t>
      </w:r>
    </w:p>
    <w:p w14:paraId="256DC17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（3）锌（葡萄糖酸锌/硫酸锌/柠檬酸锌）：支持肠道黏膜屏障修复与稳定，有助于改善肠道微环境。</w:t>
      </w:r>
    </w:p>
    <w:p w14:paraId="32E40A3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生活方式建议</w:t>
      </w:r>
    </w:p>
    <w:p w14:paraId="18227D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（1）进食节律管理：固定三餐时间，避免频繁加餐与夜宵，减少肠道持续发酵负荷。</w:t>
      </w:r>
    </w:p>
    <w:p w14:paraId="17B2452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（2）进食行为管理：细嚼慢咽，避免进食过快或过饱。</w:t>
      </w:r>
    </w:p>
    <w:p w14:paraId="31A3C33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（3）压力与作息管理：长期压力可影响肠道菌群与蠕动，应配合放松与规律作息。</w:t>
      </w:r>
    </w:p>
    <w:p w14:paraId="46CE20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（4）避免刺激因素：减少烟酒、浓茶、咖啡及辛辣刺激。</w:t>
      </w:r>
    </w:p>
    <w:p w14:paraId="4FCEAD4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2DA1BE8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（1）饮食结构原则：以温和、易消化饮食为主，每餐包含适量优质蛋白 + 熟制蔬菜 + 低刺激主食。</w:t>
      </w:r>
    </w:p>
    <w:p w14:paraId="607C382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（2）避免不利因素：减少油炸、高脂及高度加工食品摄入。</w:t>
      </w:r>
    </w:p>
    <w:p w14:paraId="35E6DDB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A03412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（1）呼气氢气 / 呼气甲烷（CH₄）：首次触发干预后 8–12 周复测，用于观察菌群发酵模式变化。</w:t>
      </w:r>
    </w:p>
    <w:p w14:paraId="32DB594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（2）幽门螺杆菌呼气试验（HP UBT）：如出现异常，建议在专业指导下复测或进一步评估。</w:t>
      </w:r>
    </w:p>
    <w:p w14:paraId="0184ECD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（3）长期随访：指标稳定后，可每 3–6 个月评估一次肠道菌群平衡状态。</w:t>
      </w:r>
    </w:p>
    <w:p w14:paraId="18FB642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70D9792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当出现以下任一情况时，系统将在干预方案同时提示就医：</w:t>
      </w:r>
    </w:p>
    <w:p w14:paraId="35FE63C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幽门螺杆菌呼气试验（HP UBT）异常</w:t>
      </w:r>
    </w:p>
    <w:p w14:paraId="63895F4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HP UBT 异常且伴随明显胃部不适（反酸、胃痛、饱胀）</w:t>
      </w:r>
    </w:p>
    <w:p w14:paraId="2FBC122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指标持续异常且症状加重</w:t>
      </w:r>
    </w:p>
    <w:p w14:paraId="3DEF18A8">
      <w:pPr>
        <w:spacing w:line="288" w:lineRule="auto"/>
        <w:rPr>
          <w:rFonts w:ascii="Times New Roman" w:hAnsi="Times New Roman" w:eastAsia="楷体"/>
          <w:sz w:val="24"/>
        </w:rPr>
      </w:pPr>
    </w:p>
    <w:p w14:paraId="1047F1AE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（六）基因与遗传健康评估</w:t>
      </w:r>
    </w:p>
    <w:p w14:paraId="120FBA68">
      <w:pPr>
        <w:spacing w:line="288" w:lineRule="auto"/>
        <w:ind w:firstLine="480" w:firstLineChars="200"/>
        <w:rPr>
          <w:rFonts w:ascii="Times New Roman" w:hAnsi="Times New Roman" w:eastAsia="楷体"/>
          <w:sz w:val="24"/>
          <w:highlight w:val="red"/>
        </w:rPr>
      </w:pPr>
      <w:r>
        <w:rPr>
          <w:rFonts w:hint="eastAsia" w:ascii="Times New Roman" w:hAnsi="Times New Roman" w:eastAsia="楷体"/>
          <w:sz w:val="24"/>
        </w:rPr>
        <w:t>暂无指标</w:t>
      </w:r>
    </w:p>
    <w:p w14:paraId="3D26B708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（七）心血管功能强化</w:t>
      </w:r>
    </w:p>
    <w:p w14:paraId="43ABFBC6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1DD7836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最大摄氧量估计（VO₂max）</w:t>
      </w:r>
    </w:p>
    <w:p w14:paraId="15FC409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</w:t>
      </w:r>
    </w:p>
    <w:p w14:paraId="029A0A6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静息心率</w:t>
      </w:r>
    </w:p>
    <w:p w14:paraId="0F4168E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步速</w:t>
      </w:r>
    </w:p>
    <w:p w14:paraId="711CF03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6 分钟步行距离</w:t>
      </w:r>
    </w:p>
    <w:p w14:paraId="2BD425B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握力</w:t>
      </w:r>
    </w:p>
    <w:p w14:paraId="6C12EA7A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0DE3AAC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2AD31350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7E989EE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其他异常情况→触发方案</w:t>
      </w:r>
    </w:p>
    <w:p w14:paraId="70BAF707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</w:t>
      </w:r>
      <w:r>
        <w:rPr>
          <w:rFonts w:ascii="Cambria Math" w:hAnsi="Cambria Math" w:eastAsia="楷体" w:cs="Cambria Math"/>
          <w:sz w:val="24"/>
        </w:rPr>
        <w:t>₂</w:t>
      </w:r>
      <w:r>
        <w:rPr>
          <w:rFonts w:hint="eastAsia" w:ascii="Times New Roman" w:hAnsi="Times New Roman" w:eastAsia="楷体"/>
          <w:sz w:val="24"/>
        </w:rPr>
        <w:t>max）和运动后心率恢复（HRR）同时异常，不管其他指标是否异常→触发方案+提示：建议就医，进行专业评估，以下为一般性建议，请在医生的指导下使用</w:t>
      </w:r>
    </w:p>
    <w:p w14:paraId="4FA3C20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4. 具体方案：</w:t>
      </w:r>
    </w:p>
    <w:p w14:paraId="5BF69058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7DA1CE9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（1）Omega-3 脂肪酸（EPA / DHA）：有助于改善心血管内皮功能与自主神经调节环境，支持心率恢复能力。</w:t>
      </w:r>
    </w:p>
    <w:p w14:paraId="01EF206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（2）镁（甘氨酸镁或柠檬酸镁）：参与心肌电活动与神经调节，有助于稳定静息心率并支持运动后恢复。</w:t>
      </w:r>
    </w:p>
    <w:p w14:paraId="7D0DA09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（3）辅酶 Q10：参与线粒体能量代谢，有助于提升心肌能量利用效率与运动耐受性。</w:t>
      </w:r>
    </w:p>
    <w:p w14:paraId="7553B55F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7260E90E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（1）有氧耐力训练：每周</w:t>
      </w:r>
      <w:r>
        <w:rPr>
          <w:rFonts w:ascii="Times New Roman" w:hAnsi="Times New Roman" w:eastAsia="楷体"/>
          <w:sz w:val="24"/>
        </w:rPr>
        <w:t xml:space="preserve"> 3–5 </w:t>
      </w:r>
      <w:r>
        <w:rPr>
          <w:rFonts w:hint="eastAsia" w:ascii="Times New Roman" w:hAnsi="Times New Roman" w:eastAsia="楷体"/>
          <w:sz w:val="24"/>
        </w:rPr>
        <w:t>次中等强度有氧（快走、骑行、游泳），单次</w:t>
      </w:r>
      <w:r>
        <w:rPr>
          <w:rFonts w:ascii="Times New Roman" w:hAnsi="Times New Roman" w:eastAsia="楷体"/>
          <w:sz w:val="24"/>
        </w:rPr>
        <w:t xml:space="preserve"> 20–40 </w:t>
      </w:r>
      <w:r>
        <w:rPr>
          <w:rFonts w:hint="eastAsia" w:ascii="Times New Roman" w:hAnsi="Times New Roman" w:eastAsia="楷体"/>
          <w:sz w:val="24"/>
        </w:rPr>
        <w:t>分钟，用于提升最大摄氧量估计（VO</w:t>
      </w:r>
      <w:r>
        <w:rPr>
          <w:rFonts w:ascii="Cambria Math" w:hAnsi="Cambria Math" w:eastAsia="楷体" w:cs="Cambria Math"/>
          <w:sz w:val="24"/>
        </w:rPr>
        <w:t>₂</w:t>
      </w:r>
      <w:r>
        <w:rPr>
          <w:rFonts w:hint="eastAsia" w:ascii="Times New Roman" w:hAnsi="Times New Roman" w:eastAsia="楷体"/>
          <w:sz w:val="24"/>
        </w:rPr>
        <w:t>max）。</w:t>
      </w:r>
    </w:p>
    <w:p w14:paraId="5AE2372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（2）低风险间歇训练：每周 1–2 次（如 1 分钟稍快 + 2 分钟恢复），用于改善运动后心率恢复（HRR）。</w:t>
      </w:r>
    </w:p>
    <w:p w14:paraId="79355888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（3）力量训练：每周 2 次下肢与上肢力量训练，支持步速、6 分钟步行距离与握力。</w:t>
      </w:r>
    </w:p>
    <w:p w14:paraId="1E84B302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（4）减少久坐：连续坐 ≥1 小时需起身活动。</w:t>
      </w:r>
    </w:p>
    <w:p w14:paraId="3A63E67E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（5）睡眠与恢复：保证 7–8 小时睡眠，支持自主神经与心率调节。</w:t>
      </w:r>
    </w:p>
    <w:p w14:paraId="5D4F0D5B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34CC6B2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（1）饮食结构原则：每餐包含优质蛋白+复合碳水+蔬菜，为心血管训练与恢复提供能量支持。</w:t>
      </w:r>
    </w:p>
    <w:p w14:paraId="4D85C7A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（2）脂肪结构优化：增加橄榄油、坚果、深海鱼等不饱和脂肪。</w:t>
      </w:r>
    </w:p>
    <w:p w14:paraId="506AEE9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（3）避免不利因素：减少高盐、高糖及过量酒精摄入。</w:t>
      </w:r>
    </w:p>
    <w:p w14:paraId="61E8D8CF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D.定期检测建议</w:t>
      </w:r>
    </w:p>
    <w:p w14:paraId="70589EA6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（1）最大摄氧量估计（VO</w:t>
      </w:r>
      <w:r>
        <w:rPr>
          <w:rFonts w:ascii="Cambria Math" w:hAnsi="Cambria Math" w:eastAsia="楷体" w:cs="Cambria Math"/>
          <w:sz w:val="24"/>
        </w:rPr>
        <w:t>₂</w:t>
      </w:r>
      <w:r>
        <w:rPr>
          <w:rFonts w:hint="eastAsia" w:ascii="Times New Roman" w:hAnsi="Times New Roman" w:eastAsia="楷体"/>
          <w:sz w:val="24"/>
        </w:rPr>
        <w:t>max）</w:t>
      </w:r>
      <w:r>
        <w:rPr>
          <w:rFonts w:ascii="Times New Roman" w:hAnsi="Times New Roman" w:eastAsia="楷体"/>
          <w:sz w:val="24"/>
        </w:rPr>
        <w:t>/</w:t>
      </w:r>
      <w:r>
        <w:rPr>
          <w:rFonts w:hint="eastAsia" w:ascii="Times New Roman" w:hAnsi="Times New Roman" w:eastAsia="楷体"/>
          <w:sz w:val="24"/>
        </w:rPr>
        <w:t>运动后心率恢复（HRR）</w:t>
      </w:r>
      <w:r>
        <w:rPr>
          <w:rFonts w:ascii="Times New Roman" w:hAnsi="Times New Roman" w:eastAsia="楷体"/>
          <w:sz w:val="24"/>
        </w:rPr>
        <w:t>/</w:t>
      </w:r>
      <w:r>
        <w:rPr>
          <w:rFonts w:hint="eastAsia" w:ascii="Times New Roman" w:hAnsi="Times New Roman" w:eastAsia="楷体"/>
          <w:sz w:val="24"/>
        </w:rPr>
        <w:t>静息心率：首次触发干预后</w:t>
      </w:r>
      <w:r>
        <w:rPr>
          <w:rFonts w:ascii="Times New Roman" w:hAnsi="Times New Roman" w:eastAsia="楷体"/>
          <w:sz w:val="24"/>
        </w:rPr>
        <w:t xml:space="preserve"> 8–12 </w:t>
      </w:r>
      <w:r>
        <w:rPr>
          <w:rFonts w:hint="eastAsia" w:ascii="Times New Roman" w:hAnsi="Times New Roman" w:eastAsia="楷体"/>
          <w:sz w:val="24"/>
        </w:rPr>
        <w:t>周复测。</w:t>
      </w:r>
    </w:p>
    <w:p w14:paraId="1BC1568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（2）步速 / 6 分钟步行距离 / 握力：随训练周期（8–12 周）复测。</w:t>
      </w:r>
    </w:p>
    <w:p w14:paraId="085CF70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（3）长期随访：指标稳定后，可每 3–6 个月评估一次心血管功能状态。</w:t>
      </w:r>
    </w:p>
    <w:p w14:paraId="6CEC87D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6BB018A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71AC6CA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运动后心率恢复（HRR）异常 + 静息心率异常</w:t>
      </w:r>
    </w:p>
    <w:p w14:paraId="1759087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运动耐力明显下降，伴随胸闷、心悸、头晕等不适</w:t>
      </w:r>
    </w:p>
    <w:p w14:paraId="1CBCE4BD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执行强化训练后运动后心率恢复（HRR）持续无改善或进一步恶化</w:t>
      </w:r>
    </w:p>
    <w:p w14:paraId="2AE3B989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七、重点人群健康管理</w:t>
      </w:r>
    </w:p>
    <w:p w14:paraId="51827189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（一）儿童与青少年成长发育</w:t>
      </w:r>
    </w:p>
    <w:p w14:paraId="159FF19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E9CAED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儿童体重</w:t>
      </w:r>
    </w:p>
    <w:p w14:paraId="4CA5A8B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儿童身高/身长</w:t>
      </w:r>
    </w:p>
    <w:p w14:paraId="09AC76AE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 BMI</w:t>
      </w:r>
    </w:p>
    <w:p w14:paraId="1FBB745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儿童头围</w:t>
      </w:r>
    </w:p>
    <w:p w14:paraId="7A751CD1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儿童肥胖评估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7A2D2E47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4EDFB4D5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① 生长节律类指标</w:t>
      </w:r>
    </w:p>
    <w:p w14:paraId="0158986F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儿童体重</w:t>
      </w:r>
    </w:p>
    <w:p w14:paraId="2D52CD7E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 BMI</w:t>
      </w:r>
    </w:p>
    <w:p w14:paraId="5519E498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儿童身高 / 身长（轻度偏离）</w:t>
      </w:r>
    </w:p>
    <w:p w14:paraId="4EAACE4C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② 发育风险指示指标</w:t>
      </w:r>
    </w:p>
    <w:p w14:paraId="1D820510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儿童头围</w:t>
      </w:r>
    </w:p>
    <w:p w14:paraId="202497DC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儿童身高 / 身长（明显偏离同龄参考范围）</w:t>
      </w:r>
    </w:p>
    <w:p w14:paraId="2AA7340A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6B842C5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只有生长节律类指标异常→触发方案</w:t>
      </w:r>
    </w:p>
    <w:p w14:paraId="4FF8C2FC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发育风险指示指标异常，不管其他指标是否异常→触发方案+提示：建议就医，进行专业评估，以下为一般性建议，请在医生的指导下使用</w:t>
      </w:r>
    </w:p>
    <w:p w14:paraId="36E2881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E24F526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6E80D49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（1）优质蛋白（</w:t>
      </w:r>
      <w:r>
        <w:rPr>
          <w:rFonts w:hint="eastAsia" w:ascii="楷体" w:hAnsi="楷体" w:eastAsia="楷体" w:cs="楷体"/>
          <w:sz w:val="24"/>
        </w:rPr>
        <w:t>如乳清蛋白或大豆蛋白</w:t>
      </w:r>
      <w:r>
        <w:rPr>
          <w:rFonts w:hint="eastAsia" w:ascii="Times New Roman" w:hAnsi="Times New Roman" w:eastAsia="楷体"/>
          <w:sz w:val="24"/>
        </w:rPr>
        <w:t>）：支持组织生长与身高、体重的正常发育节律。</w:t>
      </w:r>
    </w:p>
    <w:p w14:paraId="58249CEF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（2）维生素</w:t>
      </w:r>
      <w:r>
        <w:rPr>
          <w:rFonts w:ascii="Times New Roman" w:hAnsi="Times New Roman" w:eastAsia="楷体"/>
          <w:sz w:val="24"/>
        </w:rPr>
        <w:t xml:space="preserve"> D₃</w:t>
      </w:r>
      <w:r>
        <w:rPr>
          <w:rFonts w:hint="eastAsia" w:ascii="Times New Roman" w:hAnsi="Times New Roman" w:eastAsia="楷体"/>
          <w:sz w:val="24"/>
        </w:rPr>
        <w:t>：有助于骨骼生长与钙吸收，对身高增长与骨发育具有基础支持作用。</w:t>
      </w:r>
    </w:p>
    <w:p w14:paraId="586D01B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（3）钙（碳酸钙）：为骨骼生长提供必要原料，支持儿童与青少年骨量积累。</w:t>
      </w:r>
    </w:p>
    <w:p w14:paraId="2ABEEB2C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294044A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（1）睡眠节律管理：保证充足睡眠（学龄前儿童 10–13 小时，学龄期 9–11 小时），避免长期熬夜影响生长激素分泌。</w:t>
      </w:r>
    </w:p>
    <w:p w14:paraId="21970E58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（2）日常活动管理：每日保证户外活动与身体活动时间，促进骨骼与肌肉发育。</w:t>
      </w:r>
    </w:p>
    <w:p w14:paraId="13FF1BD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（3）屏幕使用管理：控制久坐与屏幕时间，避免替代身体活动。</w:t>
      </w:r>
    </w:p>
    <w:p w14:paraId="3CDBC8D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4D87A416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（1）饮食结构原则：三餐规律，每餐包含主食+蛋白质+蔬菜，支持稳定生长。</w:t>
      </w:r>
    </w:p>
    <w:p w14:paraId="38496D74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（2）避免极端饮食：避免长期高糖、高盐、零食替代正餐，或过度限制饮食。</w:t>
      </w:r>
    </w:p>
    <w:p w14:paraId="03ACCE1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（3）体重偏高者：以结构调整为主，不进行成人式减重。</w:t>
      </w:r>
    </w:p>
    <w:p w14:paraId="08C013A7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定期监测建议</w:t>
      </w:r>
    </w:p>
    <w:p w14:paraId="4BBEA052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（1）体重/身高/BMI：每 3–6 个月评估一次生长趋势。</w:t>
      </w:r>
    </w:p>
    <w:p w14:paraId="420DD721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（2）头围（婴幼儿期）：按儿保周期或每 3 个月评估一次。</w:t>
      </w:r>
    </w:p>
    <w:p w14:paraId="10083F97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（3）长期随访：重点关注“趋势变化”，而非单次结果。</w:t>
      </w:r>
    </w:p>
    <w:p w14:paraId="37631107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（4）就医提示</w:t>
      </w:r>
    </w:p>
    <w:p w14:paraId="4AEFB2D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2ADCF9A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儿童身高明显低于或高于同龄参考范围</w:t>
      </w:r>
    </w:p>
    <w:p w14:paraId="4A6332B7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儿童头围偏离正常范围</w:t>
      </w:r>
    </w:p>
    <w:p w14:paraId="21EBDC25">
      <w:pPr>
        <w:spacing w:line="288" w:lineRule="auto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生长趋势持续偏离，干预后无改善</w:t>
      </w:r>
    </w:p>
    <w:p w14:paraId="2F47B1F6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（二）女性周期与内分泌监测</w:t>
      </w:r>
    </w:p>
    <w:p w14:paraId="706940B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695B43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月经周期长度</w:t>
      </w:r>
    </w:p>
    <w:p w14:paraId="7FBC24A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性激素基础信号（睾酮）</w:t>
      </w:r>
    </w:p>
    <w:p w14:paraId="2B61892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</w:t>
      </w:r>
    </w:p>
    <w:p w14:paraId="2CFC623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唾液皮质醇（深夜）</w:t>
      </w:r>
    </w:p>
    <w:p w14:paraId="2242D80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空腹血糖（FPG）</w:t>
      </w:r>
    </w:p>
    <w:p w14:paraId="6C35ECB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空腹胰岛素（FINS）</w:t>
      </w:r>
    </w:p>
    <w:p w14:paraId="7B95127D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关联模型：</w:t>
      </w:r>
      <w:r>
        <w:rPr>
          <w:rFonts w:hint="eastAsia" w:ascii="Times New Roman" w:hAnsi="Times New Roman" w:eastAsia="楷体"/>
          <w:b/>
          <w:bCs/>
          <w:sz w:val="24"/>
          <w:highlight w:val="yellow"/>
        </w:rPr>
        <w:t>妊娠糖尿病风险预测工具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6DC6DB3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1678915E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2A6D73DA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其他情况→触发方案</w:t>
      </w:r>
    </w:p>
    <w:p w14:paraId="36F8BBE6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唾液皮质醇+任意指标出现异常→触发方案+提示：建议就医，进行专业评估，以下为一般性建议，请在医生的指导下使用</w:t>
      </w:r>
    </w:p>
    <w:p w14:paraId="7F4D2F4E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001349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3EF35FB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（1）镁（甘氨酸镁或苏糖酸镁）：有助于缓冲压力反应并支持神经-激素节律稳定。</w:t>
      </w:r>
    </w:p>
    <w:p w14:paraId="58C903B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（2）Omega-3 脂肪酸（EPA / DHA）：有助于改善胰岛素敏感性与炎症环境，支持女性内分泌稳态。</w:t>
      </w:r>
    </w:p>
    <w:p w14:paraId="3C9D203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（3）维生素 B6：参与性激素与神经递质代谢，有助于周期稳定与情绪调节。</w:t>
      </w:r>
    </w:p>
    <w:p w14:paraId="5F47461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生活方式建议</w:t>
      </w:r>
    </w:p>
    <w:p w14:paraId="1EF0876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（1）周期与作息同步：固定入睡与起床时间，避免熬夜，支持月经与皮质醇节律。</w:t>
      </w:r>
    </w:p>
    <w:p w14:paraId="7324AEF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（2）压力负荷管理：每日安排放松练习（呼吸、拉伸、冥想），避免长期高压但无恢复。</w:t>
      </w:r>
    </w:p>
    <w:p w14:paraId="205EB83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（3）运动原则：规律中低强度运动优先，避免长期高强度训练干扰周期与胰岛素信号。</w:t>
      </w:r>
    </w:p>
    <w:p w14:paraId="69C50B8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（4）进食节律管理：固定三餐，避免夜宵与频繁加餐。</w:t>
      </w:r>
    </w:p>
    <w:p w14:paraId="61DC4EE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51EF7E1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（1）饮食结构原则：每餐包含优质蛋白 + 复合碳水 + 蔬菜，支持血糖与激素稳定。</w:t>
      </w:r>
    </w:p>
    <w:p w14:paraId="15E113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（2）血糖友好策略：减少高糖饮食与精制碳水，避免空腹时间过长。</w:t>
      </w:r>
    </w:p>
    <w:p w14:paraId="71CFDC4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（3）脂肪质量管理：适度摄入坚果、橄榄油、深海鱼，为激素合成提供基础原料。</w:t>
      </w:r>
    </w:p>
    <w:p w14:paraId="7970C44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04E786F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（1）月经周期长度：持续记录 ≥3 个周期，用于判断稳定性趋势。</w:t>
      </w:r>
    </w:p>
    <w:p w14:paraId="1AB300C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（2）空腹血糖（FPG）</w:t>
      </w:r>
      <w:r>
        <w:rPr>
          <w:rFonts w:hint="eastAsia" w:ascii="Times New Roman" w:hAnsi="Times New Roman" w:eastAsia="楷体"/>
          <w:sz w:val="24"/>
          <w:lang w:val="en-US" w:eastAsia="zh-CN"/>
        </w:rPr>
        <w:t>/</w:t>
      </w:r>
      <w:r>
        <w:rPr>
          <w:rFonts w:hint="eastAsia" w:ascii="Times New Roman" w:hAnsi="Times New Roman" w:eastAsia="楷体"/>
          <w:sz w:val="24"/>
        </w:rPr>
        <w:t>空腹胰岛素（FINS）/睾酮：首次触发干预后8–12周复测。</w:t>
      </w:r>
    </w:p>
    <w:p w14:paraId="6E7CC43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（3）唾液皮质醇（早晨 / 深夜）：干预后 8–12 周复测，用于评估节律恢复情况。</w:t>
      </w:r>
    </w:p>
    <w:p w14:paraId="38885BD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（4）长期随访：指标稳定后，可每 3–6 个月评估一次女性内分泌稳态状态。</w:t>
      </w:r>
    </w:p>
    <w:p w14:paraId="3A5A8CDC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（5）就医提示</w:t>
      </w:r>
    </w:p>
    <w:p w14:paraId="360BC1D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35A017C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唾液皮质醇（早晨）与唾液皮质醇（深夜）同时异常</w:t>
      </w:r>
    </w:p>
    <w:p w14:paraId="536B647B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月经周期长期明显紊乱，且伴随明显疲劳、体重异常变化或情绪波动</w:t>
      </w:r>
    </w:p>
    <w:p w14:paraId="7A3329E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执行支持性干预后，皮质醇节律或周期异常持续存在</w:t>
      </w:r>
    </w:p>
    <w:p w14:paraId="68313C63">
      <w:pPr>
        <w:spacing w:line="288" w:lineRule="auto"/>
        <w:rPr>
          <w:rFonts w:ascii="Times New Roman" w:hAnsi="Times New Roman" w:eastAsia="楷体"/>
          <w:sz w:val="24"/>
        </w:rPr>
      </w:pPr>
    </w:p>
    <w:p w14:paraId="48D8FD98">
      <w:pPr>
        <w:spacing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（三）老年功能衰退与健康状态评估</w:t>
      </w:r>
    </w:p>
    <w:p w14:paraId="13D7D25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07D24E8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步速</w:t>
      </w:r>
    </w:p>
    <w:p w14:paraId="0F706EDB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6 分钟步行距离</w:t>
      </w:r>
    </w:p>
    <w:p w14:paraId="51553E4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平衡能力（单脚站立时间）</w:t>
      </w:r>
    </w:p>
    <w:p w14:paraId="5009884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握力</w:t>
      </w:r>
    </w:p>
    <w:p w14:paraId="45DB614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骨骼肌指数（SMI）</w:t>
      </w:r>
    </w:p>
    <w:p w14:paraId="6B2BF68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骨密度（T 值）</w:t>
      </w:r>
    </w:p>
    <w:p w14:paraId="3132DED2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最大摄氧量估计（VO₂max）</w:t>
      </w:r>
    </w:p>
    <w:p w14:paraId="413C25CF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运动后心率恢复（HRR）</w:t>
      </w:r>
    </w:p>
    <w:p w14:paraId="192E851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静息心率</w:t>
      </w:r>
    </w:p>
    <w:p w14:paraId="05CA51C1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夜间觉醒次数</w:t>
      </w:r>
    </w:p>
    <w:p w14:paraId="2808657D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总睡眠时长</w:t>
      </w:r>
    </w:p>
    <w:p w14:paraId="3F675F8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夜间清醒总时长</w:t>
      </w:r>
    </w:p>
    <w:p w14:paraId="5F5AD2A5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睡眠效率</w:t>
      </w:r>
    </w:p>
    <w:p w14:paraId="43FD45E9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2. 关联模型：暂无 </w:t>
      </w:r>
    </w:p>
    <w:p w14:paraId="4D7A3AEF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3. 方案触发条件</w:t>
      </w:r>
    </w:p>
    <w:p w14:paraId="074B752C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运动与功能能力：步速、6 分钟步行距离、平衡能力（单脚站立时间）、握力</w:t>
      </w:r>
    </w:p>
    <w:p w14:paraId="74DADB4B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骨骼与肌肉：骨骼肌指数（SMI）、骨密度（T 值）</w:t>
      </w:r>
    </w:p>
    <w:p w14:paraId="0B1BC2F0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心肺与恢复能力：最大摄氧量估计（</w:t>
      </w:r>
      <w:r>
        <w:rPr>
          <w:rFonts w:ascii="Times New Roman" w:hAnsi="Times New Roman" w:eastAsia="楷体"/>
          <w:sz w:val="24"/>
        </w:rPr>
        <w:t>VO₂max</w:t>
      </w:r>
      <w:r>
        <w:rPr>
          <w:rFonts w:hint="eastAsia" w:ascii="Times New Roman" w:hAnsi="Times New Roman" w:eastAsia="楷体"/>
          <w:sz w:val="24"/>
        </w:rPr>
        <w:t>）、运动后心率恢复（</w:t>
      </w:r>
      <w:r>
        <w:rPr>
          <w:rFonts w:ascii="Times New Roman" w:hAnsi="Times New Roman" w:eastAsia="楷体"/>
          <w:sz w:val="24"/>
        </w:rPr>
        <w:t>HRR</w:t>
      </w:r>
      <w:r>
        <w:rPr>
          <w:rFonts w:hint="eastAsia" w:ascii="Times New Roman" w:hAnsi="Times New Roman" w:eastAsia="楷体"/>
          <w:sz w:val="24"/>
        </w:rPr>
        <w:t>）、静息心率</w:t>
      </w:r>
    </w:p>
    <w:p w14:paraId="5CE38978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睡眠与恢复：夜间觉醒次数、总睡眠时长、夜间清醒总时长、睡眠效率</w:t>
      </w:r>
    </w:p>
    <w:p w14:paraId="49EC606D">
      <w:pPr>
        <w:wordWrap w:val="0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所有指标均处于正常区间→不触发</w:t>
      </w:r>
    </w:p>
    <w:p w14:paraId="0C3C0074">
      <w:pPr>
        <w:spacing w:line="288" w:lineRule="auto"/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单一类别中的指标异常→触发方案</w:t>
      </w:r>
    </w:p>
    <w:p w14:paraId="095F4819">
      <w:pPr>
        <w:spacing w:line="288" w:lineRule="auto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≥2个类别中的指标出现异常→触发方案+提示：建议就医，进行专业评估，以下为一般性建议，请在医生的指导下使用</w:t>
      </w:r>
    </w:p>
    <w:p w14:paraId="201DBA48">
      <w:pPr>
        <w:spacing w:line="288" w:lineRule="auto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4. 具体方案：</w:t>
      </w:r>
    </w:p>
    <w:p w14:paraId="10C81DA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A. 营养补充建议</w:t>
      </w:r>
    </w:p>
    <w:p w14:paraId="197556C0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（1）维生素D₃：有助于促进钙吸收并支持肌肉与神经肌肉功能，降低骨量下降与跌倒风险相关负担。</w:t>
      </w:r>
    </w:p>
    <w:p w14:paraId="50011D5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（2）蛋白质补充（乳清蛋白）：有助于支持肌肉蛋白合成与肌力维持，改善 SMI、握力与日常活动能力。</w:t>
      </w:r>
    </w:p>
    <w:p w14:paraId="1DDA80F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（3）Omega-3 脂肪酸（EPA / DHA）：有助于降低低度炎症负担并支持肌肉与心血管功能恢复，提高训练适应性。</w:t>
      </w:r>
    </w:p>
    <w:p w14:paraId="0B3CCBA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B. 生活方式</w:t>
      </w:r>
    </w:p>
    <w:p w14:paraId="3ADF9DC6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（1）有氧活动：每周≥150分钟中低强度活动（快走、骑行、游泳），分次完成，用于改善最大摄氧量估计（VO₂max）与步行能力。</w:t>
      </w:r>
    </w:p>
    <w:p w14:paraId="1959B59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（2）力量训练：每周2–3次抗阻训练（下肢、核心、上肢），支持骨骼肌指数（SMI）、握力与日常活动能力。</w:t>
      </w:r>
    </w:p>
    <w:p w14:paraId="34B04C4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（3）平衡训练：每日练习单脚站立、脚跟—脚尖行走，降低跌倒风险。</w:t>
      </w:r>
    </w:p>
    <w:p w14:paraId="2F07B8A3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（4）睡眠管理：固定作息时间，减少夜间光刺激，避免白天长时间卧床，支持夜间恢复。</w:t>
      </w:r>
    </w:p>
    <w:p w14:paraId="5B44AD4D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（5）活动节律：避免久坐，连续坐≥1小时需起身活动。</w:t>
      </w:r>
    </w:p>
    <w:p w14:paraId="34D0243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（6）安全环境：居家防滑、照明充足，移除地毯翘边与杂物，减少跌倒诱因。</w:t>
      </w:r>
    </w:p>
    <w:p w14:paraId="1D90DDF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C. 饮食建议</w:t>
      </w:r>
    </w:p>
    <w:p w14:paraId="6E3EEF8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（1）蛋白质支持：每餐包含优质蛋白（鱼、蛋、奶、豆类、瘦肉），支持肌肉维持与训练恢复。</w:t>
      </w:r>
    </w:p>
    <w:p w14:paraId="6D3D837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（2）骨健康支持：乳制品/强化食品 + 深绿色蔬菜，配合日照或维生素 D 支持骨代谢。</w:t>
      </w:r>
    </w:p>
    <w:p w14:paraId="3CF7FC0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（3）整体结构：蔬菜 + 优质蛋白 + 全谷物/豆类，减少高糖、高盐和高度加工食品。</w:t>
      </w:r>
    </w:p>
    <w:p w14:paraId="54F9EB0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D. 定期检测建议</w:t>
      </w:r>
    </w:p>
    <w:p w14:paraId="33B8DB6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功能指标（步速、6 分钟步行、握力、平衡）：每 8–12 周评估一次。</w:t>
      </w:r>
    </w:p>
    <w:p w14:paraId="7FF9F239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心肺指标（最大摄氧量估计（VO₂max）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运动后心率恢复（HRR）</w:t>
      </w:r>
      <w:r>
        <w:rPr>
          <w:rFonts w:hint="eastAsia" w:ascii="Times New Roman" w:hAnsi="Times New Roman" w:eastAsia="楷体"/>
          <w:sz w:val="24"/>
          <w:lang w:eastAsia="zh-CN"/>
        </w:rPr>
        <w:t>、</w:t>
      </w:r>
      <w:r>
        <w:rPr>
          <w:rFonts w:hint="eastAsia" w:ascii="Times New Roman" w:hAnsi="Times New Roman" w:eastAsia="楷体"/>
          <w:sz w:val="24"/>
        </w:rPr>
        <w:t>静息心率）：首次干预后 8–12 周复测。</w:t>
      </w:r>
    </w:p>
    <w:p w14:paraId="183492C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骨骼指标（骨骼肌指数（SMI）、骨密度（T 值））：6–12 个月评估一次。</w:t>
      </w:r>
    </w:p>
    <w:p w14:paraId="781FF784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睡眠指标：持续监测，结合每 8–12 周复盘一次。</w:t>
      </w:r>
    </w:p>
    <w:p w14:paraId="5B740988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就医提示</w:t>
      </w:r>
    </w:p>
    <w:p w14:paraId="38724C6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当出现以下情况之一时，系统将在干预方案同时提示就医：</w:t>
      </w:r>
    </w:p>
    <w:p w14:paraId="5A7718F1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HRR 与静息心率同时异常</w:t>
      </w:r>
    </w:p>
    <w:p w14:paraId="2491881A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骨密度或肌肉量下降并伴随平衡或步速明显下降</w:t>
      </w:r>
    </w:p>
    <w:p w14:paraId="3646B887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体能下降合并睡眠恢复长期不良</w:t>
      </w:r>
    </w:p>
    <w:p w14:paraId="5C85B12E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近期出现跌倒史或明显活动能力下降</w:t>
      </w:r>
    </w:p>
    <w:p w14:paraId="4BE7E8D2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本系统提供的建议为一般性支持措施，</w:t>
      </w:r>
    </w:p>
    <w:p w14:paraId="6A05F5B5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不替代专业医疗诊断与治疗，</w:t>
      </w:r>
    </w:p>
    <w:p w14:paraId="44CCC00F">
      <w:pPr>
        <w:spacing w:line="288" w:lineRule="auto"/>
        <w:rPr>
          <w:rFonts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请在医生指导下进一步评估与处理。</w:t>
      </w:r>
    </w:p>
    <w:p w14:paraId="24D5A138">
      <w:pPr>
        <w:spacing w:before="240" w:line="288" w:lineRule="auto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</w:rPr>
        <w:t>八、健康风险总结</w:t>
      </w:r>
    </w:p>
    <w:p w14:paraId="2BA4F383">
      <w:pPr>
        <w:spacing w:line="288" w:lineRule="auto"/>
        <w:ind w:firstLine="560" w:firstLineChars="200"/>
        <w:rPr>
          <w:rFonts w:ascii="Times New Roman" w:hAnsi="Times New Roman" w:eastAsia="楷体"/>
          <w:sz w:val="28"/>
          <w:szCs w:val="28"/>
        </w:rPr>
      </w:pPr>
    </w:p>
    <w:p w14:paraId="44C2B3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92168"/>
    <w:rsid w:val="0000363A"/>
    <w:rsid w:val="000232B0"/>
    <w:rsid w:val="00032B3C"/>
    <w:rsid w:val="00086BE1"/>
    <w:rsid w:val="0016150F"/>
    <w:rsid w:val="00195037"/>
    <w:rsid w:val="001D0C17"/>
    <w:rsid w:val="001D2B0D"/>
    <w:rsid w:val="001E25A6"/>
    <w:rsid w:val="0023261F"/>
    <w:rsid w:val="00235993"/>
    <w:rsid w:val="00262916"/>
    <w:rsid w:val="002976B4"/>
    <w:rsid w:val="002E599E"/>
    <w:rsid w:val="002F0088"/>
    <w:rsid w:val="002F2FCD"/>
    <w:rsid w:val="002F7409"/>
    <w:rsid w:val="003359F9"/>
    <w:rsid w:val="0035536B"/>
    <w:rsid w:val="00386B89"/>
    <w:rsid w:val="00396C5F"/>
    <w:rsid w:val="003A2F12"/>
    <w:rsid w:val="00432346"/>
    <w:rsid w:val="00501D9D"/>
    <w:rsid w:val="005058BF"/>
    <w:rsid w:val="00567F40"/>
    <w:rsid w:val="00603DC1"/>
    <w:rsid w:val="006419FC"/>
    <w:rsid w:val="006501BF"/>
    <w:rsid w:val="0068010A"/>
    <w:rsid w:val="0068372C"/>
    <w:rsid w:val="006A67C3"/>
    <w:rsid w:val="006A7C61"/>
    <w:rsid w:val="00772677"/>
    <w:rsid w:val="00804DF9"/>
    <w:rsid w:val="008150FC"/>
    <w:rsid w:val="008E1959"/>
    <w:rsid w:val="00926677"/>
    <w:rsid w:val="00962BEA"/>
    <w:rsid w:val="00962F3B"/>
    <w:rsid w:val="00A17425"/>
    <w:rsid w:val="00AB5E9B"/>
    <w:rsid w:val="00B63C54"/>
    <w:rsid w:val="00B87A8B"/>
    <w:rsid w:val="00BB348F"/>
    <w:rsid w:val="00BC4D50"/>
    <w:rsid w:val="00C40D13"/>
    <w:rsid w:val="00C52FD8"/>
    <w:rsid w:val="00C84B5B"/>
    <w:rsid w:val="00CA618A"/>
    <w:rsid w:val="00CF23C5"/>
    <w:rsid w:val="00D348C5"/>
    <w:rsid w:val="00D74A43"/>
    <w:rsid w:val="00D839E0"/>
    <w:rsid w:val="00DE2A36"/>
    <w:rsid w:val="00E56128"/>
    <w:rsid w:val="00E82F12"/>
    <w:rsid w:val="00EF4621"/>
    <w:rsid w:val="00F4348E"/>
    <w:rsid w:val="00F61A09"/>
    <w:rsid w:val="00F6361A"/>
    <w:rsid w:val="00FA5C73"/>
    <w:rsid w:val="00FB0181"/>
    <w:rsid w:val="01505F15"/>
    <w:rsid w:val="04C2680D"/>
    <w:rsid w:val="06E8519C"/>
    <w:rsid w:val="07DD430D"/>
    <w:rsid w:val="086B08B2"/>
    <w:rsid w:val="08F619DC"/>
    <w:rsid w:val="0D090C39"/>
    <w:rsid w:val="0E1B1632"/>
    <w:rsid w:val="0EB6385C"/>
    <w:rsid w:val="10152804"/>
    <w:rsid w:val="115232C3"/>
    <w:rsid w:val="136441CE"/>
    <w:rsid w:val="17CD1C16"/>
    <w:rsid w:val="18277578"/>
    <w:rsid w:val="1ED3045A"/>
    <w:rsid w:val="210A7A37"/>
    <w:rsid w:val="21907C65"/>
    <w:rsid w:val="21A460DD"/>
    <w:rsid w:val="21EE0357"/>
    <w:rsid w:val="23D5432C"/>
    <w:rsid w:val="24030E99"/>
    <w:rsid w:val="24C61CDD"/>
    <w:rsid w:val="25B3069D"/>
    <w:rsid w:val="2C5F157F"/>
    <w:rsid w:val="304C5976"/>
    <w:rsid w:val="319475D5"/>
    <w:rsid w:val="353F3CFB"/>
    <w:rsid w:val="35A95619"/>
    <w:rsid w:val="35BF0661"/>
    <w:rsid w:val="35EA1EB9"/>
    <w:rsid w:val="36B129D7"/>
    <w:rsid w:val="36D41B01"/>
    <w:rsid w:val="3A3F02FA"/>
    <w:rsid w:val="3B190B4B"/>
    <w:rsid w:val="3C3A521C"/>
    <w:rsid w:val="3CBE19AA"/>
    <w:rsid w:val="3D8E75CE"/>
    <w:rsid w:val="3F4C14EF"/>
    <w:rsid w:val="4286740D"/>
    <w:rsid w:val="42B31885"/>
    <w:rsid w:val="4B1F03FF"/>
    <w:rsid w:val="4CEB1049"/>
    <w:rsid w:val="4DF0398D"/>
    <w:rsid w:val="4F7D74A2"/>
    <w:rsid w:val="50C23D07"/>
    <w:rsid w:val="51B11685"/>
    <w:rsid w:val="536B7C81"/>
    <w:rsid w:val="55EE4C56"/>
    <w:rsid w:val="564B3E56"/>
    <w:rsid w:val="571374AF"/>
    <w:rsid w:val="5A180EA0"/>
    <w:rsid w:val="5D1F428F"/>
    <w:rsid w:val="5E8C5954"/>
    <w:rsid w:val="5FDA449D"/>
    <w:rsid w:val="60D86DD7"/>
    <w:rsid w:val="610C68D8"/>
    <w:rsid w:val="637F3391"/>
    <w:rsid w:val="64410F8F"/>
    <w:rsid w:val="681C5653"/>
    <w:rsid w:val="6C066D46"/>
    <w:rsid w:val="6D1D5AA0"/>
    <w:rsid w:val="6E657628"/>
    <w:rsid w:val="6EA77C40"/>
    <w:rsid w:val="6F675D4D"/>
    <w:rsid w:val="71245578"/>
    <w:rsid w:val="71267542"/>
    <w:rsid w:val="71392168"/>
    <w:rsid w:val="723E42FE"/>
    <w:rsid w:val="731C29AB"/>
    <w:rsid w:val="737427E7"/>
    <w:rsid w:val="76C23869"/>
    <w:rsid w:val="76F7736C"/>
    <w:rsid w:val="7BB272F7"/>
    <w:rsid w:val="7D6A07B6"/>
    <w:rsid w:val="7E5A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customStyle="1" w:styleId="12">
    <w:name w:val="标题 1 字符"/>
    <w:basedOn w:val="9"/>
    <w:link w:val="2"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标题 2 字符"/>
    <w:basedOn w:val="9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26286</Words>
  <Characters>27559</Characters>
  <Lines>214</Lines>
  <Paragraphs>60</Paragraphs>
  <TotalTime>0</TotalTime>
  <ScaleCrop>false</ScaleCrop>
  <LinksUpToDate>false</LinksUpToDate>
  <CharactersWithSpaces>28370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2025-12-16T14:58:00Z</dcterms:created>
  <dc:creator>？？？</dc:creator>
  <cp:lastModifiedBy>？？？</cp:lastModifiedBy>
  <cp:lastPrinted>2025-11-27T10:41:00Z</cp:lastPrinted>
  <dcterms:modified xsi:type="dcterms:W3CDTF">2025-12-19T03:09:22Z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34418A873C334606B0482C70488BB07C_13</vt:lpwstr>
  </property>
  <property fmtid="{D5CDD505-2E9C-101B-9397-08002B2CF9AE}" pid="4" name="KSOTemplateDocerSaveRecord">
    <vt:lpwstr>eyJoZGlkIjoiMDM0MGYxNmUxNGQ3MTNiM2QxOTBjMWNiYmVkNTY2ZTMiLCJ1c2VySWQiOiIxNzIxNDMxMzQ3In0=</vt:lpwstr>
  </property>
</Properties>
</file>