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6A2624">
      <w:pPr>
        <w:keepNext w:val="0"/>
        <w:keepLines w:val="0"/>
        <w:pageBreakBefore w:val="0"/>
        <w:widowControl w:val="0"/>
        <w:kinsoku/>
        <w:wordWrap/>
        <w:overflowPunct/>
        <w:topLinePunct w:val="0"/>
        <w:autoSpaceDE/>
        <w:autoSpaceDN/>
        <w:bidi w:val="0"/>
        <w:adjustRightInd/>
        <w:snapToGrid/>
        <w:spacing w:line="360" w:lineRule="auto"/>
        <w:ind w:firstLine="643" w:firstLineChars="200"/>
        <w:jc w:val="center"/>
        <w:textAlignment w:val="auto"/>
        <w:rPr>
          <w:rFonts w:hint="eastAsia" w:ascii="Times New Roman" w:hAnsi="Times New Roman" w:eastAsia="楷体" w:cs="Times New Roman"/>
          <w:b/>
          <w:bCs/>
          <w:sz w:val="32"/>
          <w:szCs w:val="32"/>
          <w:lang w:val="en-US" w:eastAsia="zh-CN"/>
        </w:rPr>
      </w:pPr>
      <w:r>
        <w:rPr>
          <w:rFonts w:hint="eastAsia" w:ascii="Times New Roman" w:hAnsi="Times New Roman" w:eastAsia="楷体" w:cs="Times New Roman"/>
          <w:b/>
          <w:bCs/>
          <w:sz w:val="32"/>
          <w:szCs w:val="32"/>
          <w:lang w:val="en-US" w:eastAsia="zh-CN"/>
        </w:rPr>
        <w:t>预防干预</w:t>
      </w:r>
      <w:r>
        <w:rPr>
          <w:rFonts w:hint="default" w:ascii="Times New Roman" w:hAnsi="Times New Roman" w:eastAsia="楷体" w:cs="Times New Roman"/>
          <w:b/>
          <w:bCs/>
          <w:sz w:val="32"/>
          <w:szCs w:val="32"/>
          <w:lang w:val="en-US" w:eastAsia="zh-CN"/>
        </w:rPr>
        <w:t>方案</w:t>
      </w:r>
      <w:r>
        <w:rPr>
          <w:rFonts w:hint="eastAsia" w:ascii="Times New Roman" w:hAnsi="Times New Roman" w:eastAsia="楷体" w:cs="Times New Roman"/>
          <w:b/>
          <w:bCs/>
          <w:sz w:val="32"/>
          <w:szCs w:val="32"/>
          <w:lang w:val="en-US" w:eastAsia="zh-CN"/>
        </w:rPr>
        <w:t>排序逻辑</w:t>
      </w:r>
    </w:p>
    <w:p w14:paraId="45A15068">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一、总体排序逻辑</w:t>
      </w:r>
    </w:p>
    <w:p w14:paraId="5418CB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bCs/>
          <w:sz w:val="24"/>
          <w:szCs w:val="24"/>
          <w:lang w:val="en-US" w:eastAsia="zh-CN"/>
        </w:rPr>
      </w:pPr>
      <w:r>
        <w:rPr>
          <w:rFonts w:hint="eastAsia" w:ascii="Times New Roman" w:hAnsi="Times New Roman" w:eastAsia="楷体" w:cs="Times New Roman"/>
          <w:b w:val="0"/>
          <w:bCs w:val="0"/>
          <w:sz w:val="24"/>
          <w:szCs w:val="24"/>
          <w:lang w:val="en-US" w:eastAsia="zh-CN"/>
        </w:rPr>
        <w:t>整体排序逻辑为</w:t>
      </w:r>
      <w:r>
        <w:rPr>
          <w:rFonts w:hint="eastAsia" w:ascii="Times New Roman" w:hAnsi="Times New Roman" w:eastAsia="楷体" w:cs="Times New Roman"/>
          <w:b/>
          <w:bCs/>
          <w:sz w:val="24"/>
          <w:szCs w:val="24"/>
          <w:lang w:val="en-US" w:eastAsia="zh-CN"/>
        </w:rPr>
        <w:t>3层。</w:t>
      </w:r>
    </w:p>
    <w:p w14:paraId="248938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1. 风险等级</w:t>
      </w:r>
    </w:p>
    <w:p w14:paraId="5414F9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b w:val="0"/>
          <w:bCs w:val="0"/>
          <w:sz w:val="24"/>
          <w:lang w:val="en-US" w:eastAsia="zh-CN"/>
        </w:rPr>
      </w:pPr>
      <w:r>
        <w:rPr>
          <w:rFonts w:hint="eastAsia" w:ascii="Times New Roman" w:hAnsi="Times New Roman" w:eastAsia="楷体" w:cs="Times New Roman"/>
          <w:b w:val="0"/>
          <w:bCs w:val="0"/>
          <w:sz w:val="24"/>
          <w:szCs w:val="24"/>
          <w:lang w:val="en-US" w:eastAsia="zh-CN"/>
        </w:rPr>
        <w:t>风险等级按照</w:t>
      </w:r>
      <w:r>
        <w:rPr>
          <w:rFonts w:hint="eastAsia" w:ascii="Times New Roman" w:hAnsi="Times New Roman" w:eastAsia="楷体"/>
          <w:b w:val="0"/>
          <w:bCs w:val="0"/>
          <w:sz w:val="24"/>
        </w:rPr>
        <w:t>高</w:t>
      </w:r>
      <w:r>
        <w:rPr>
          <w:rFonts w:hint="eastAsia" w:ascii="Times New Roman" w:hAnsi="Times New Roman" w:eastAsia="楷体"/>
          <w:b w:val="0"/>
          <w:bCs w:val="0"/>
          <w:sz w:val="24"/>
          <w:lang w:val="en-US" w:eastAsia="zh-CN"/>
        </w:rPr>
        <w:t>风险</w:t>
      </w:r>
      <w:r>
        <w:rPr>
          <w:rFonts w:hint="eastAsia" w:ascii="Times New Roman" w:hAnsi="Times New Roman" w:eastAsia="楷体"/>
          <w:b w:val="0"/>
          <w:bCs w:val="0"/>
          <w:sz w:val="24"/>
        </w:rPr>
        <w:t>＞中</w:t>
      </w:r>
      <w:r>
        <w:rPr>
          <w:rFonts w:hint="eastAsia" w:ascii="Times New Roman" w:hAnsi="Times New Roman" w:eastAsia="楷体"/>
          <w:b w:val="0"/>
          <w:bCs w:val="0"/>
          <w:sz w:val="24"/>
          <w:lang w:val="en-US" w:eastAsia="zh-CN"/>
        </w:rPr>
        <w:t>风险</w:t>
      </w:r>
      <w:r>
        <w:rPr>
          <w:rFonts w:hint="eastAsia" w:ascii="Times New Roman" w:hAnsi="Times New Roman" w:eastAsia="楷体"/>
          <w:b w:val="0"/>
          <w:bCs w:val="0"/>
          <w:sz w:val="24"/>
        </w:rPr>
        <w:t>＞低</w:t>
      </w:r>
      <w:r>
        <w:rPr>
          <w:rFonts w:hint="eastAsia" w:ascii="Times New Roman" w:hAnsi="Times New Roman" w:eastAsia="楷体"/>
          <w:b w:val="0"/>
          <w:bCs w:val="0"/>
          <w:sz w:val="24"/>
          <w:lang w:val="en-US" w:eastAsia="zh-CN"/>
        </w:rPr>
        <w:t>风险进行排序。</w:t>
      </w:r>
    </w:p>
    <w:p w14:paraId="1D67CAB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2. 系统医学危害性排序（二级目录）</w:t>
      </w:r>
    </w:p>
    <w:p w14:paraId="6D9B72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当处于同一风险等级的情况下依据二级目录的系统医学危害性进行排序。</w:t>
      </w:r>
    </w:p>
    <w:p w14:paraId="5AA8C2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3. 干预可行性排序（产品）</w:t>
      </w:r>
    </w:p>
    <w:p w14:paraId="488ABB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若处于同一风险等级和同一系统医学危害性（二级目录）的情况下，进行干预可行性排序（产品）排序。</w:t>
      </w:r>
    </w:p>
    <w:p w14:paraId="077298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p>
    <w:p w14:paraId="5F890756">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bCs/>
          <w:sz w:val="24"/>
          <w:szCs w:val="24"/>
          <w:lang w:val="en-US" w:eastAsia="zh-CN"/>
        </w:rPr>
      </w:pPr>
      <w:r>
        <w:rPr>
          <w:rFonts w:hint="eastAsia" w:ascii="Times New Roman" w:hAnsi="Times New Roman" w:eastAsia="楷体" w:cs="Times New Roman"/>
          <w:b/>
          <w:bCs/>
          <w:sz w:val="24"/>
          <w:szCs w:val="24"/>
          <w:lang w:val="en-US" w:eastAsia="zh-CN"/>
        </w:rPr>
        <w:t>二、每一层排序逻辑</w:t>
      </w:r>
    </w:p>
    <w:p w14:paraId="51FA897D">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sz w:val="24"/>
          <w:szCs w:val="24"/>
          <w:lang w:val="en-US" w:eastAsia="zh-CN"/>
        </w:rPr>
        <w:t>第一层：</w:t>
      </w:r>
      <w:r>
        <w:rPr>
          <w:rFonts w:hint="eastAsia" w:ascii="Times New Roman" w:hAnsi="Times New Roman" w:eastAsia="楷体" w:cs="Times New Roman"/>
          <w:b/>
          <w:bCs/>
          <w:sz w:val="24"/>
          <w:szCs w:val="24"/>
          <w:lang w:val="en-US" w:eastAsia="zh-CN"/>
        </w:rPr>
        <w:t>风险等级的排序</w:t>
      </w:r>
    </w:p>
    <w:p w14:paraId="023B57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排序逻辑：</w:t>
      </w:r>
      <w:r>
        <w:rPr>
          <w:rFonts w:hint="eastAsia" w:ascii="Times New Roman" w:hAnsi="Times New Roman" w:eastAsia="楷体"/>
          <w:b w:val="0"/>
          <w:bCs w:val="0"/>
          <w:sz w:val="24"/>
        </w:rPr>
        <w:t>风险等级排序（高</w:t>
      </w:r>
      <w:r>
        <w:rPr>
          <w:rFonts w:hint="eastAsia" w:ascii="Times New Roman" w:hAnsi="Times New Roman" w:eastAsia="楷体"/>
          <w:b w:val="0"/>
          <w:bCs w:val="0"/>
          <w:sz w:val="24"/>
          <w:lang w:val="en-US" w:eastAsia="zh-CN"/>
        </w:rPr>
        <w:t>风险</w:t>
      </w:r>
      <w:r>
        <w:rPr>
          <w:rFonts w:hint="eastAsia" w:ascii="Times New Roman" w:hAnsi="Times New Roman" w:eastAsia="楷体"/>
          <w:b w:val="0"/>
          <w:bCs w:val="0"/>
          <w:sz w:val="24"/>
        </w:rPr>
        <w:t>＞中</w:t>
      </w:r>
      <w:r>
        <w:rPr>
          <w:rFonts w:hint="eastAsia" w:ascii="Times New Roman" w:hAnsi="Times New Roman" w:eastAsia="楷体"/>
          <w:b w:val="0"/>
          <w:bCs w:val="0"/>
          <w:sz w:val="24"/>
          <w:lang w:val="en-US" w:eastAsia="zh-CN"/>
        </w:rPr>
        <w:t>风险</w:t>
      </w:r>
      <w:r>
        <w:rPr>
          <w:rFonts w:hint="eastAsia" w:ascii="Times New Roman" w:hAnsi="Times New Roman" w:eastAsia="楷体"/>
          <w:b w:val="0"/>
          <w:bCs w:val="0"/>
          <w:sz w:val="24"/>
        </w:rPr>
        <w:t>＞低</w:t>
      </w:r>
      <w:r>
        <w:rPr>
          <w:rFonts w:hint="eastAsia" w:ascii="Times New Roman" w:hAnsi="Times New Roman" w:eastAsia="楷体"/>
          <w:b w:val="0"/>
          <w:bCs w:val="0"/>
          <w:sz w:val="24"/>
          <w:lang w:val="en-US" w:eastAsia="zh-CN"/>
        </w:rPr>
        <w:t>风险</w:t>
      </w:r>
      <w:r>
        <w:rPr>
          <w:rFonts w:hint="eastAsia" w:ascii="Times New Roman" w:hAnsi="Times New Roman" w:eastAsia="楷体"/>
          <w:b w:val="0"/>
          <w:bCs w:val="0"/>
          <w:sz w:val="24"/>
        </w:rPr>
        <w:t>）</w:t>
      </w:r>
    </w:p>
    <w:p w14:paraId="495EC8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sz w:val="24"/>
        </w:rPr>
      </w:pPr>
      <w:r>
        <w:rPr>
          <w:rFonts w:hint="eastAsia" w:ascii="Times New Roman" w:hAnsi="Times New Roman" w:eastAsia="楷体"/>
          <w:sz w:val="24"/>
        </w:rPr>
        <w:t>分诊/预警体系与慢病预防指南均采用先分层、再行动的流程，高等级优先以避免延误关键不良结局。</w:t>
      </w:r>
    </w:p>
    <w:p w14:paraId="5B9326FF">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bCs/>
          <w:sz w:val="24"/>
          <w:szCs w:val="24"/>
          <w:lang w:val="en-US" w:eastAsia="zh-CN"/>
        </w:rPr>
      </w:pPr>
    </w:p>
    <w:p w14:paraId="276D4F59">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bCs/>
          <w:sz w:val="24"/>
          <w:szCs w:val="24"/>
          <w:lang w:val="en-US" w:eastAsia="zh-CN"/>
        </w:rPr>
      </w:pPr>
      <w:r>
        <w:rPr>
          <w:rFonts w:hint="default" w:ascii="Times New Roman" w:hAnsi="Times New Roman" w:eastAsia="楷体" w:cs="Times New Roman"/>
          <w:b/>
          <w:bCs/>
          <w:sz w:val="24"/>
          <w:szCs w:val="24"/>
          <w:lang w:val="en-US" w:eastAsia="zh-CN"/>
        </w:rPr>
        <w:t>第二层：</w:t>
      </w:r>
      <w:r>
        <w:rPr>
          <w:rFonts w:hint="eastAsia" w:ascii="Times New Roman" w:hAnsi="Times New Roman" w:eastAsia="楷体" w:cs="Times New Roman"/>
          <w:b/>
          <w:bCs/>
          <w:sz w:val="24"/>
          <w:szCs w:val="24"/>
          <w:lang w:val="en-US" w:eastAsia="zh-CN"/>
        </w:rPr>
        <w:t>二级目录系统医学危害性排序</w:t>
      </w:r>
    </w:p>
    <w:p w14:paraId="3EE68A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1. 排序逻辑：</w:t>
      </w:r>
    </w:p>
    <w:p w14:paraId="33B197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系统医学危害性：指的是不同身体系统在受到风险或损伤时，对生命威胁、不可逆后果和核心功能丧失的严重程度。</w:t>
      </w:r>
    </w:p>
    <w:p w14:paraId="08B393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干预方向应优先处理系统医学危害性最高的系统。</w:t>
      </w:r>
    </w:p>
    <w:p w14:paraId="5F3298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具体顺序：</w:t>
      </w:r>
    </w:p>
    <w:p w14:paraId="725958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bookmarkStart w:id="0" w:name="_GoBack"/>
      <w:r>
        <w:rPr>
          <w:rFonts w:hint="eastAsia" w:ascii="Times New Roman" w:hAnsi="Times New Roman" w:eastAsia="楷体" w:cs="Times New Roman"/>
          <w:b w:val="0"/>
          <w:bCs w:val="0"/>
          <w:sz w:val="24"/>
          <w:szCs w:val="24"/>
          <w:highlight w:val="green"/>
          <w:lang w:val="en-US" w:eastAsia="zh-CN"/>
        </w:rPr>
        <w:t>1</w:t>
      </w:r>
      <w:r>
        <w:rPr>
          <w:rFonts w:hint="default" w:ascii="Times New Roman" w:hAnsi="Times New Roman" w:eastAsia="楷体" w:cs="Times New Roman"/>
          <w:b w:val="0"/>
          <w:bCs w:val="0"/>
          <w:sz w:val="24"/>
          <w:szCs w:val="24"/>
          <w:highlight w:val="green"/>
          <w:lang w:val="en-US" w:eastAsia="zh-CN"/>
        </w:rPr>
        <w:t>. 心血管与代谢负荷状态</w:t>
      </w:r>
    </w:p>
    <w:p w14:paraId="191259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2</w:t>
      </w:r>
      <w:r>
        <w:rPr>
          <w:rFonts w:hint="default" w:ascii="Times New Roman" w:hAnsi="Times New Roman" w:eastAsia="楷体" w:cs="Times New Roman"/>
          <w:b w:val="0"/>
          <w:bCs w:val="0"/>
          <w:sz w:val="24"/>
          <w:szCs w:val="24"/>
          <w:highlight w:val="green"/>
          <w:lang w:val="en-US" w:eastAsia="zh-CN"/>
        </w:rPr>
        <w:t>. 心血管代谢状态评估</w:t>
      </w:r>
    </w:p>
    <w:p w14:paraId="6CD604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3</w:t>
      </w:r>
      <w:r>
        <w:rPr>
          <w:rFonts w:hint="default" w:ascii="Times New Roman" w:hAnsi="Times New Roman" w:eastAsia="楷体" w:cs="Times New Roman"/>
          <w:b w:val="0"/>
          <w:bCs w:val="0"/>
          <w:sz w:val="24"/>
          <w:szCs w:val="24"/>
          <w:highlight w:val="green"/>
          <w:lang w:val="en-US" w:eastAsia="zh-CN"/>
        </w:rPr>
        <w:t>. 脂质代谢与动脉硬化风险识别</w:t>
      </w:r>
    </w:p>
    <w:p w14:paraId="34BB39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4</w:t>
      </w:r>
      <w:r>
        <w:rPr>
          <w:rFonts w:hint="default" w:ascii="Times New Roman" w:hAnsi="Times New Roman" w:eastAsia="楷体" w:cs="Times New Roman"/>
          <w:b w:val="0"/>
          <w:bCs w:val="0"/>
          <w:sz w:val="24"/>
          <w:szCs w:val="24"/>
          <w:highlight w:val="green"/>
          <w:lang w:val="en-US" w:eastAsia="zh-CN"/>
        </w:rPr>
        <w:t>. 多体液标志物早筛体系（肺癌、胃癌、胰腺癌、食管癌、喉癌/头颈鳞癌部分、膀胱癌、结直肠癌、前列腺癌）</w:t>
      </w:r>
    </w:p>
    <w:p w14:paraId="25E761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5</w:t>
      </w:r>
      <w:r>
        <w:rPr>
          <w:rFonts w:hint="default" w:ascii="Times New Roman" w:hAnsi="Times New Roman" w:eastAsia="楷体" w:cs="Times New Roman"/>
          <w:b w:val="0"/>
          <w:bCs w:val="0"/>
          <w:sz w:val="24"/>
          <w:szCs w:val="24"/>
          <w:highlight w:val="green"/>
          <w:lang w:val="en-US" w:eastAsia="zh-CN"/>
        </w:rPr>
        <w:t>. 多癌种风险评估</w:t>
      </w:r>
    </w:p>
    <w:p w14:paraId="17277E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6</w:t>
      </w:r>
      <w:r>
        <w:rPr>
          <w:rFonts w:hint="default" w:ascii="Times New Roman" w:hAnsi="Times New Roman" w:eastAsia="楷体" w:cs="Times New Roman"/>
          <w:b w:val="0"/>
          <w:bCs w:val="0"/>
          <w:sz w:val="24"/>
          <w:szCs w:val="24"/>
          <w:highlight w:val="green"/>
          <w:lang w:val="en-US" w:eastAsia="zh-CN"/>
        </w:rPr>
        <w:t>. 呼吸系统慢病风险筛查</w:t>
      </w:r>
    </w:p>
    <w:p w14:paraId="362CFE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7</w:t>
      </w:r>
      <w:r>
        <w:rPr>
          <w:rFonts w:hint="default" w:ascii="Times New Roman" w:hAnsi="Times New Roman" w:eastAsia="楷体" w:cs="Times New Roman"/>
          <w:b w:val="0"/>
          <w:bCs w:val="0"/>
          <w:sz w:val="24"/>
          <w:szCs w:val="24"/>
          <w:highlight w:val="green"/>
          <w:lang w:val="en-US" w:eastAsia="zh-CN"/>
        </w:rPr>
        <w:t>. 呼吸道炎症与微生物代谢状态</w:t>
      </w:r>
    </w:p>
    <w:p w14:paraId="16D8A1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8</w:t>
      </w:r>
      <w:r>
        <w:rPr>
          <w:rFonts w:hint="default" w:ascii="Times New Roman" w:hAnsi="Times New Roman" w:eastAsia="楷体" w:cs="Times New Roman"/>
          <w:b w:val="0"/>
          <w:bCs w:val="0"/>
          <w:sz w:val="24"/>
          <w:szCs w:val="24"/>
          <w:highlight w:val="green"/>
          <w:lang w:val="en-US" w:eastAsia="zh-CN"/>
        </w:rPr>
        <w:t>. 神经压力与激素节律状态</w:t>
      </w:r>
    </w:p>
    <w:p w14:paraId="0C7707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9</w:t>
      </w:r>
      <w:r>
        <w:rPr>
          <w:rFonts w:hint="default" w:ascii="Times New Roman" w:hAnsi="Times New Roman" w:eastAsia="楷体" w:cs="Times New Roman"/>
          <w:b w:val="0"/>
          <w:bCs w:val="0"/>
          <w:sz w:val="24"/>
          <w:szCs w:val="24"/>
          <w:highlight w:val="green"/>
          <w:lang w:val="en-US" w:eastAsia="zh-CN"/>
        </w:rPr>
        <w:t>. 肾脏过滤与排泄状态</w:t>
      </w:r>
    </w:p>
    <w:p w14:paraId="0685B2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10</w:t>
      </w:r>
      <w:r>
        <w:rPr>
          <w:rFonts w:hint="default" w:ascii="Times New Roman" w:hAnsi="Times New Roman" w:eastAsia="楷体" w:cs="Times New Roman"/>
          <w:b w:val="0"/>
          <w:bCs w:val="0"/>
          <w:sz w:val="24"/>
          <w:szCs w:val="24"/>
          <w:highlight w:val="green"/>
          <w:lang w:val="en-US" w:eastAsia="zh-CN"/>
        </w:rPr>
        <w:t>. 肾功能与电解质平衡分析</w:t>
      </w:r>
    </w:p>
    <w:p w14:paraId="69899E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11</w:t>
      </w:r>
      <w:r>
        <w:rPr>
          <w:rFonts w:hint="default" w:ascii="Times New Roman" w:hAnsi="Times New Roman" w:eastAsia="楷体" w:cs="Times New Roman"/>
          <w:b w:val="0"/>
          <w:bCs w:val="0"/>
          <w:sz w:val="24"/>
          <w:szCs w:val="24"/>
          <w:highlight w:val="green"/>
          <w:lang w:val="en-US" w:eastAsia="zh-CN"/>
        </w:rPr>
        <w:t>. 糖代谢与胰岛功能风险评估</w:t>
      </w:r>
    </w:p>
    <w:p w14:paraId="494447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default" w:ascii="Times New Roman" w:hAnsi="Times New Roman" w:eastAsia="楷体" w:cs="Times New Roman"/>
          <w:b w:val="0"/>
          <w:bCs w:val="0"/>
          <w:sz w:val="24"/>
          <w:szCs w:val="24"/>
          <w:highlight w:val="green"/>
          <w:lang w:val="en-US" w:eastAsia="zh-CN"/>
        </w:rPr>
        <w:t>1</w:t>
      </w:r>
      <w:r>
        <w:rPr>
          <w:rFonts w:hint="eastAsia" w:ascii="Times New Roman" w:hAnsi="Times New Roman" w:eastAsia="楷体" w:cs="Times New Roman"/>
          <w:b w:val="0"/>
          <w:bCs w:val="0"/>
          <w:sz w:val="24"/>
          <w:szCs w:val="24"/>
          <w:highlight w:val="green"/>
          <w:lang w:val="en-US" w:eastAsia="zh-CN"/>
        </w:rPr>
        <w:t>2</w:t>
      </w:r>
      <w:r>
        <w:rPr>
          <w:rFonts w:hint="default" w:ascii="Times New Roman" w:hAnsi="Times New Roman" w:eastAsia="楷体" w:cs="Times New Roman"/>
          <w:b w:val="0"/>
          <w:bCs w:val="0"/>
          <w:sz w:val="24"/>
          <w:szCs w:val="24"/>
          <w:highlight w:val="green"/>
          <w:lang w:val="en-US" w:eastAsia="zh-CN"/>
        </w:rPr>
        <w:t>. 骨密度与跌倒风险评估</w:t>
      </w:r>
    </w:p>
    <w:p w14:paraId="430EE7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default" w:ascii="Times New Roman" w:hAnsi="Times New Roman" w:eastAsia="楷体" w:cs="Times New Roman"/>
          <w:b w:val="0"/>
          <w:bCs w:val="0"/>
          <w:sz w:val="24"/>
          <w:szCs w:val="24"/>
          <w:highlight w:val="green"/>
          <w:lang w:val="en-US" w:eastAsia="zh-CN"/>
        </w:rPr>
        <w:t>1</w:t>
      </w:r>
      <w:r>
        <w:rPr>
          <w:rFonts w:hint="eastAsia" w:ascii="Times New Roman" w:hAnsi="Times New Roman" w:eastAsia="楷体" w:cs="Times New Roman"/>
          <w:b w:val="0"/>
          <w:bCs w:val="0"/>
          <w:sz w:val="24"/>
          <w:szCs w:val="24"/>
          <w:highlight w:val="green"/>
          <w:lang w:val="en-US" w:eastAsia="zh-CN"/>
        </w:rPr>
        <w:t>3</w:t>
      </w:r>
      <w:r>
        <w:rPr>
          <w:rFonts w:hint="default" w:ascii="Times New Roman" w:hAnsi="Times New Roman" w:eastAsia="楷体" w:cs="Times New Roman"/>
          <w:b w:val="0"/>
          <w:bCs w:val="0"/>
          <w:sz w:val="24"/>
          <w:szCs w:val="24"/>
          <w:highlight w:val="green"/>
          <w:lang w:val="en-US" w:eastAsia="zh-CN"/>
        </w:rPr>
        <w:t>. 骨骼与矿物质代谢状态</w:t>
      </w:r>
    </w:p>
    <w:p w14:paraId="3DABC0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default" w:ascii="Times New Roman" w:hAnsi="Times New Roman" w:eastAsia="楷体" w:cs="Times New Roman"/>
          <w:b w:val="0"/>
          <w:bCs w:val="0"/>
          <w:sz w:val="24"/>
          <w:szCs w:val="24"/>
          <w:highlight w:val="green"/>
          <w:lang w:val="en-US" w:eastAsia="zh-CN"/>
        </w:rPr>
        <w:t>1</w:t>
      </w:r>
      <w:r>
        <w:rPr>
          <w:rFonts w:hint="eastAsia" w:ascii="Times New Roman" w:hAnsi="Times New Roman" w:eastAsia="楷体" w:cs="Times New Roman"/>
          <w:b w:val="0"/>
          <w:bCs w:val="0"/>
          <w:sz w:val="24"/>
          <w:szCs w:val="24"/>
          <w:highlight w:val="green"/>
          <w:lang w:val="en-US" w:eastAsia="zh-CN"/>
        </w:rPr>
        <w:t>4</w:t>
      </w:r>
      <w:r>
        <w:rPr>
          <w:rFonts w:hint="default" w:ascii="Times New Roman" w:hAnsi="Times New Roman" w:eastAsia="楷体" w:cs="Times New Roman"/>
          <w:b w:val="0"/>
          <w:bCs w:val="0"/>
          <w:sz w:val="24"/>
          <w:szCs w:val="24"/>
          <w:highlight w:val="green"/>
          <w:lang w:val="en-US" w:eastAsia="zh-CN"/>
        </w:rPr>
        <w:t>. 肝脏解毒与代谢功能恢复</w:t>
      </w:r>
    </w:p>
    <w:p w14:paraId="3A631A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default" w:ascii="Times New Roman" w:hAnsi="Times New Roman" w:eastAsia="楷体" w:cs="Times New Roman"/>
          <w:b w:val="0"/>
          <w:bCs w:val="0"/>
          <w:sz w:val="24"/>
          <w:szCs w:val="24"/>
          <w:highlight w:val="green"/>
          <w:lang w:val="en-US" w:eastAsia="zh-CN"/>
        </w:rPr>
        <w:t>1</w:t>
      </w:r>
      <w:r>
        <w:rPr>
          <w:rFonts w:hint="eastAsia" w:ascii="Times New Roman" w:hAnsi="Times New Roman" w:eastAsia="楷体" w:cs="Times New Roman"/>
          <w:b w:val="0"/>
          <w:bCs w:val="0"/>
          <w:sz w:val="24"/>
          <w:szCs w:val="24"/>
          <w:highlight w:val="green"/>
          <w:lang w:val="en-US" w:eastAsia="zh-CN"/>
        </w:rPr>
        <w:t>5</w:t>
      </w:r>
      <w:r>
        <w:rPr>
          <w:rFonts w:hint="default" w:ascii="Times New Roman" w:hAnsi="Times New Roman" w:eastAsia="楷体" w:cs="Times New Roman"/>
          <w:b w:val="0"/>
          <w:bCs w:val="0"/>
          <w:sz w:val="24"/>
          <w:szCs w:val="24"/>
          <w:highlight w:val="green"/>
          <w:lang w:val="en-US" w:eastAsia="zh-CN"/>
        </w:rPr>
        <w:t>. 内分泌与激素稳态调节</w:t>
      </w:r>
    </w:p>
    <w:p w14:paraId="6B0D313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default" w:ascii="Times New Roman" w:hAnsi="Times New Roman" w:eastAsia="楷体" w:cs="Times New Roman"/>
          <w:b w:val="0"/>
          <w:bCs w:val="0"/>
          <w:sz w:val="24"/>
          <w:szCs w:val="24"/>
          <w:highlight w:val="green"/>
          <w:lang w:val="en-US" w:eastAsia="zh-CN"/>
        </w:rPr>
        <w:t>1</w:t>
      </w:r>
      <w:r>
        <w:rPr>
          <w:rFonts w:hint="eastAsia" w:ascii="Times New Roman" w:hAnsi="Times New Roman" w:eastAsia="楷体" w:cs="Times New Roman"/>
          <w:b w:val="0"/>
          <w:bCs w:val="0"/>
          <w:sz w:val="24"/>
          <w:szCs w:val="24"/>
          <w:highlight w:val="green"/>
          <w:lang w:val="en-US" w:eastAsia="zh-CN"/>
        </w:rPr>
        <w:t>6</w:t>
      </w:r>
      <w:r>
        <w:rPr>
          <w:rFonts w:hint="default" w:ascii="Times New Roman" w:hAnsi="Times New Roman" w:eastAsia="楷体" w:cs="Times New Roman"/>
          <w:b w:val="0"/>
          <w:bCs w:val="0"/>
          <w:sz w:val="24"/>
          <w:szCs w:val="24"/>
          <w:highlight w:val="green"/>
          <w:lang w:val="en-US" w:eastAsia="zh-CN"/>
        </w:rPr>
        <w:t>. 免疫平衡与抗炎调节</w:t>
      </w:r>
    </w:p>
    <w:p w14:paraId="04205D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17</w:t>
      </w:r>
      <w:r>
        <w:rPr>
          <w:rFonts w:hint="default" w:ascii="Times New Roman" w:hAnsi="Times New Roman" w:eastAsia="楷体" w:cs="Times New Roman"/>
          <w:b w:val="0"/>
          <w:bCs w:val="0"/>
          <w:sz w:val="24"/>
          <w:szCs w:val="24"/>
          <w:highlight w:val="green"/>
          <w:lang w:val="en-US" w:eastAsia="zh-CN"/>
        </w:rPr>
        <w:t>. 炎症与免疫功能调控</w:t>
      </w:r>
    </w:p>
    <w:p w14:paraId="72D40C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18</w:t>
      </w:r>
      <w:r>
        <w:rPr>
          <w:rFonts w:hint="default" w:ascii="Times New Roman" w:hAnsi="Times New Roman" w:eastAsia="楷体" w:cs="Times New Roman"/>
          <w:b w:val="0"/>
          <w:bCs w:val="0"/>
          <w:sz w:val="24"/>
          <w:szCs w:val="24"/>
          <w:highlight w:val="green"/>
          <w:lang w:val="en-US" w:eastAsia="zh-CN"/>
        </w:rPr>
        <w:t>. 视觉与眼部功能状态</w:t>
      </w:r>
    </w:p>
    <w:p w14:paraId="34CAA2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19</w:t>
      </w:r>
      <w:r>
        <w:rPr>
          <w:rFonts w:hint="default" w:ascii="Times New Roman" w:hAnsi="Times New Roman" w:eastAsia="楷体" w:cs="Times New Roman"/>
          <w:b w:val="0"/>
          <w:bCs w:val="0"/>
          <w:sz w:val="24"/>
          <w:szCs w:val="24"/>
          <w:highlight w:val="green"/>
          <w:lang w:val="en-US" w:eastAsia="zh-CN"/>
        </w:rPr>
        <w:t>. 老年功能衰退与健康状态评估</w:t>
      </w:r>
    </w:p>
    <w:p w14:paraId="307A8D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20</w:t>
      </w:r>
      <w:r>
        <w:rPr>
          <w:rFonts w:hint="default" w:ascii="Times New Roman" w:hAnsi="Times New Roman" w:eastAsia="楷体" w:cs="Times New Roman"/>
          <w:b w:val="0"/>
          <w:bCs w:val="0"/>
          <w:sz w:val="24"/>
          <w:szCs w:val="24"/>
          <w:highlight w:val="green"/>
          <w:lang w:val="en-US" w:eastAsia="zh-CN"/>
        </w:rPr>
        <w:t>. 消化系统与肠道功能检测</w:t>
      </w:r>
    </w:p>
    <w:p w14:paraId="7F1C7F8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21</w:t>
      </w:r>
      <w:r>
        <w:rPr>
          <w:rFonts w:hint="default" w:ascii="Times New Roman" w:hAnsi="Times New Roman" w:eastAsia="楷体" w:cs="Times New Roman"/>
          <w:b w:val="0"/>
          <w:bCs w:val="0"/>
          <w:sz w:val="24"/>
          <w:szCs w:val="24"/>
          <w:highlight w:val="green"/>
          <w:lang w:val="en-US" w:eastAsia="zh-CN"/>
        </w:rPr>
        <w:t>. 情绪与心理状态风险评估</w:t>
      </w:r>
    </w:p>
    <w:p w14:paraId="2F73EF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default" w:ascii="Times New Roman" w:hAnsi="Times New Roman" w:eastAsia="楷体" w:cs="Times New Roman"/>
          <w:b w:val="0"/>
          <w:bCs w:val="0"/>
          <w:sz w:val="24"/>
          <w:szCs w:val="24"/>
          <w:highlight w:val="green"/>
          <w:lang w:val="en-US" w:eastAsia="zh-CN"/>
        </w:rPr>
        <w:t>2</w:t>
      </w:r>
      <w:r>
        <w:rPr>
          <w:rFonts w:hint="eastAsia" w:ascii="Times New Roman" w:hAnsi="Times New Roman" w:eastAsia="楷体" w:cs="Times New Roman"/>
          <w:b w:val="0"/>
          <w:bCs w:val="0"/>
          <w:sz w:val="24"/>
          <w:szCs w:val="24"/>
          <w:highlight w:val="green"/>
          <w:lang w:val="en-US" w:eastAsia="zh-CN"/>
        </w:rPr>
        <w:t>2</w:t>
      </w:r>
      <w:r>
        <w:rPr>
          <w:rFonts w:hint="default" w:ascii="Times New Roman" w:hAnsi="Times New Roman" w:eastAsia="楷体" w:cs="Times New Roman"/>
          <w:b w:val="0"/>
          <w:bCs w:val="0"/>
          <w:sz w:val="24"/>
          <w:szCs w:val="24"/>
          <w:highlight w:val="green"/>
          <w:lang w:val="en-US" w:eastAsia="zh-CN"/>
        </w:rPr>
        <w:t>. 高尿酸与痛风风险评估</w:t>
      </w:r>
    </w:p>
    <w:p w14:paraId="1E398E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default" w:ascii="Times New Roman" w:hAnsi="Times New Roman" w:eastAsia="楷体" w:cs="Times New Roman"/>
          <w:b w:val="0"/>
          <w:bCs w:val="0"/>
          <w:sz w:val="24"/>
          <w:szCs w:val="24"/>
          <w:highlight w:val="green"/>
          <w:lang w:val="en-US" w:eastAsia="zh-CN"/>
        </w:rPr>
        <w:t>2</w:t>
      </w:r>
      <w:r>
        <w:rPr>
          <w:rFonts w:hint="eastAsia" w:ascii="Times New Roman" w:hAnsi="Times New Roman" w:eastAsia="楷体" w:cs="Times New Roman"/>
          <w:b w:val="0"/>
          <w:bCs w:val="0"/>
          <w:sz w:val="24"/>
          <w:szCs w:val="24"/>
          <w:highlight w:val="green"/>
          <w:lang w:val="en-US" w:eastAsia="zh-CN"/>
        </w:rPr>
        <w:t>3</w:t>
      </w:r>
      <w:r>
        <w:rPr>
          <w:rFonts w:hint="default" w:ascii="Times New Roman" w:hAnsi="Times New Roman" w:eastAsia="楷体" w:cs="Times New Roman"/>
          <w:b w:val="0"/>
          <w:bCs w:val="0"/>
          <w:sz w:val="24"/>
          <w:szCs w:val="24"/>
          <w:highlight w:val="green"/>
          <w:lang w:val="en-US" w:eastAsia="zh-CN"/>
        </w:rPr>
        <w:t>. 女性周期与内分泌监测</w:t>
      </w:r>
    </w:p>
    <w:p w14:paraId="2297BC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24</w:t>
      </w:r>
      <w:r>
        <w:rPr>
          <w:rFonts w:hint="default" w:ascii="Times New Roman" w:hAnsi="Times New Roman" w:eastAsia="楷体" w:cs="Times New Roman"/>
          <w:b w:val="0"/>
          <w:bCs w:val="0"/>
          <w:sz w:val="24"/>
          <w:szCs w:val="24"/>
          <w:highlight w:val="green"/>
          <w:lang w:val="en-US" w:eastAsia="zh-CN"/>
        </w:rPr>
        <w:t>. 视觉与眼部健康防护</w:t>
      </w:r>
    </w:p>
    <w:p w14:paraId="5E98D9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default" w:ascii="Times New Roman" w:hAnsi="Times New Roman" w:eastAsia="楷体" w:cs="Times New Roman"/>
          <w:b w:val="0"/>
          <w:bCs w:val="0"/>
          <w:sz w:val="24"/>
          <w:szCs w:val="24"/>
          <w:highlight w:val="green"/>
          <w:lang w:val="en-US" w:eastAsia="zh-CN"/>
        </w:rPr>
        <w:t>2</w:t>
      </w:r>
      <w:r>
        <w:rPr>
          <w:rFonts w:hint="eastAsia" w:ascii="Times New Roman" w:hAnsi="Times New Roman" w:eastAsia="楷体" w:cs="Times New Roman"/>
          <w:b w:val="0"/>
          <w:bCs w:val="0"/>
          <w:sz w:val="24"/>
          <w:szCs w:val="24"/>
          <w:highlight w:val="green"/>
          <w:lang w:val="en-US" w:eastAsia="zh-CN"/>
        </w:rPr>
        <w:t>5</w:t>
      </w:r>
      <w:r>
        <w:rPr>
          <w:rFonts w:hint="default" w:ascii="Times New Roman" w:hAnsi="Times New Roman" w:eastAsia="楷体" w:cs="Times New Roman"/>
          <w:b w:val="0"/>
          <w:bCs w:val="0"/>
          <w:sz w:val="24"/>
          <w:szCs w:val="24"/>
          <w:highlight w:val="green"/>
          <w:lang w:val="en-US" w:eastAsia="zh-CN"/>
        </w:rPr>
        <w:t>. 睡眠与疲劳状态监测</w:t>
      </w:r>
    </w:p>
    <w:p w14:paraId="56B9F02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26</w:t>
      </w:r>
      <w:r>
        <w:rPr>
          <w:rFonts w:hint="default" w:ascii="Times New Roman" w:hAnsi="Times New Roman" w:eastAsia="楷体" w:cs="Times New Roman"/>
          <w:b w:val="0"/>
          <w:bCs w:val="0"/>
          <w:sz w:val="24"/>
          <w:szCs w:val="24"/>
          <w:highlight w:val="green"/>
          <w:lang w:val="en-US" w:eastAsia="zh-CN"/>
        </w:rPr>
        <w:t>. 心血管功能强化</w:t>
      </w:r>
    </w:p>
    <w:p w14:paraId="1BA6C4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27</w:t>
      </w:r>
      <w:r>
        <w:rPr>
          <w:rFonts w:hint="default" w:ascii="Times New Roman" w:hAnsi="Times New Roman" w:eastAsia="楷体" w:cs="Times New Roman"/>
          <w:b w:val="0"/>
          <w:bCs w:val="0"/>
          <w:sz w:val="24"/>
          <w:szCs w:val="24"/>
          <w:highlight w:val="green"/>
          <w:lang w:val="en-US" w:eastAsia="zh-CN"/>
        </w:rPr>
        <w:t>. 功能性营养素与微量元素评估</w:t>
      </w:r>
    </w:p>
    <w:p w14:paraId="23A40D9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28</w:t>
      </w:r>
      <w:r>
        <w:rPr>
          <w:rFonts w:hint="default" w:ascii="Times New Roman" w:hAnsi="Times New Roman" w:eastAsia="楷体" w:cs="Times New Roman"/>
          <w:b w:val="0"/>
          <w:bCs w:val="0"/>
          <w:sz w:val="24"/>
          <w:szCs w:val="24"/>
          <w:highlight w:val="green"/>
          <w:lang w:val="en-US" w:eastAsia="zh-CN"/>
        </w:rPr>
        <w:t>. 特殊人群营养支持（孕期、儿童、老年）</w:t>
      </w:r>
    </w:p>
    <w:p w14:paraId="3EB5EF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default" w:ascii="Times New Roman" w:hAnsi="Times New Roman" w:eastAsia="楷体" w:cs="Times New Roman"/>
          <w:b w:val="0"/>
          <w:bCs w:val="0"/>
          <w:sz w:val="24"/>
          <w:szCs w:val="24"/>
          <w:highlight w:val="green"/>
          <w:lang w:val="en-US" w:eastAsia="zh-CN"/>
        </w:rPr>
        <w:t>2</w:t>
      </w:r>
      <w:r>
        <w:rPr>
          <w:rFonts w:hint="eastAsia" w:ascii="Times New Roman" w:hAnsi="Times New Roman" w:eastAsia="楷体" w:cs="Times New Roman"/>
          <w:b w:val="0"/>
          <w:bCs w:val="0"/>
          <w:sz w:val="24"/>
          <w:szCs w:val="24"/>
          <w:highlight w:val="green"/>
          <w:lang w:val="en-US" w:eastAsia="zh-CN"/>
        </w:rPr>
        <w:t>9</w:t>
      </w:r>
      <w:r>
        <w:rPr>
          <w:rFonts w:hint="default" w:ascii="Times New Roman" w:hAnsi="Times New Roman" w:eastAsia="楷体" w:cs="Times New Roman"/>
          <w:b w:val="0"/>
          <w:bCs w:val="0"/>
          <w:sz w:val="24"/>
          <w:szCs w:val="24"/>
          <w:highlight w:val="green"/>
          <w:lang w:val="en-US" w:eastAsia="zh-CN"/>
        </w:rPr>
        <w:t>. 肠道菌群平衡优化</w:t>
      </w:r>
    </w:p>
    <w:p w14:paraId="40FD1E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30</w:t>
      </w:r>
      <w:r>
        <w:rPr>
          <w:rFonts w:hint="default" w:ascii="Times New Roman" w:hAnsi="Times New Roman" w:eastAsia="楷体" w:cs="Times New Roman"/>
          <w:b w:val="0"/>
          <w:bCs w:val="0"/>
          <w:sz w:val="24"/>
          <w:szCs w:val="24"/>
          <w:highlight w:val="green"/>
          <w:lang w:val="en-US" w:eastAsia="zh-CN"/>
        </w:rPr>
        <w:t>. 个体饮食结构与营养平衡分析</w:t>
      </w:r>
    </w:p>
    <w:p w14:paraId="40CFD2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31</w:t>
      </w:r>
      <w:r>
        <w:rPr>
          <w:rFonts w:hint="default" w:ascii="Times New Roman" w:hAnsi="Times New Roman" w:eastAsia="楷体" w:cs="Times New Roman"/>
          <w:b w:val="0"/>
          <w:bCs w:val="0"/>
          <w:sz w:val="24"/>
          <w:szCs w:val="24"/>
          <w:highlight w:val="green"/>
          <w:lang w:val="en-US" w:eastAsia="zh-CN"/>
        </w:rPr>
        <w:t>. 儿童与青少年成长发育</w:t>
      </w:r>
    </w:p>
    <w:p w14:paraId="4554E6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default" w:ascii="Times New Roman" w:hAnsi="Times New Roman" w:eastAsia="楷体" w:cs="Times New Roman"/>
          <w:b w:val="0"/>
          <w:bCs w:val="0"/>
          <w:sz w:val="24"/>
          <w:szCs w:val="24"/>
          <w:highlight w:val="green"/>
          <w:lang w:val="en-US" w:eastAsia="zh-CN"/>
        </w:rPr>
        <w:t>3</w:t>
      </w:r>
      <w:r>
        <w:rPr>
          <w:rFonts w:hint="eastAsia" w:ascii="Times New Roman" w:hAnsi="Times New Roman" w:eastAsia="楷体" w:cs="Times New Roman"/>
          <w:b w:val="0"/>
          <w:bCs w:val="0"/>
          <w:sz w:val="24"/>
          <w:szCs w:val="24"/>
          <w:highlight w:val="green"/>
          <w:lang w:val="en-US" w:eastAsia="zh-CN"/>
        </w:rPr>
        <w:t>2</w:t>
      </w:r>
      <w:r>
        <w:rPr>
          <w:rFonts w:hint="default" w:ascii="Times New Roman" w:hAnsi="Times New Roman" w:eastAsia="楷体" w:cs="Times New Roman"/>
          <w:b w:val="0"/>
          <w:bCs w:val="0"/>
          <w:sz w:val="24"/>
          <w:szCs w:val="24"/>
          <w:highlight w:val="green"/>
          <w:lang w:val="en-US" w:eastAsia="zh-CN"/>
        </w:rPr>
        <w:t>. 运动与体能评估</w:t>
      </w:r>
    </w:p>
    <w:p w14:paraId="789E53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eastAsia" w:ascii="Times New Roman" w:hAnsi="Times New Roman" w:eastAsia="楷体" w:cs="Times New Roman"/>
          <w:b w:val="0"/>
          <w:bCs w:val="0"/>
          <w:sz w:val="24"/>
          <w:szCs w:val="24"/>
          <w:highlight w:val="green"/>
          <w:lang w:val="en-US" w:eastAsia="zh-CN"/>
        </w:rPr>
        <w:t>33</w:t>
      </w:r>
      <w:r>
        <w:rPr>
          <w:rFonts w:hint="default" w:ascii="Times New Roman" w:hAnsi="Times New Roman" w:eastAsia="楷体" w:cs="Times New Roman"/>
          <w:b w:val="0"/>
          <w:bCs w:val="0"/>
          <w:sz w:val="24"/>
          <w:szCs w:val="24"/>
          <w:highlight w:val="green"/>
          <w:lang w:val="en-US" w:eastAsia="zh-CN"/>
        </w:rPr>
        <w:t>. 基因与遗传健康评估</w:t>
      </w:r>
    </w:p>
    <w:p w14:paraId="50B759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green"/>
          <w:lang w:val="en-US" w:eastAsia="zh-CN"/>
        </w:rPr>
      </w:pPr>
      <w:r>
        <w:rPr>
          <w:rFonts w:hint="default" w:ascii="Times New Roman" w:hAnsi="Times New Roman" w:eastAsia="楷体" w:cs="Times New Roman"/>
          <w:b w:val="0"/>
          <w:bCs w:val="0"/>
          <w:sz w:val="24"/>
          <w:szCs w:val="24"/>
          <w:highlight w:val="green"/>
          <w:lang w:val="en-US" w:eastAsia="zh-CN"/>
        </w:rPr>
        <w:t>34. 皮肤与衰老状态趋势分析</w:t>
      </w:r>
    </w:p>
    <w:bookmarkEnd w:id="0"/>
    <w:p w14:paraId="5062FD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p>
    <w:p w14:paraId="2D1869E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bCs/>
          <w:sz w:val="24"/>
          <w:szCs w:val="24"/>
          <w:lang w:val="en-US" w:eastAsia="zh-CN"/>
        </w:rPr>
      </w:pPr>
    </w:p>
    <w:p w14:paraId="21C265A0">
      <w:pPr>
        <w:keepNext w:val="0"/>
        <w:keepLines w:val="0"/>
        <w:pageBreakBefore w:val="0"/>
        <w:widowControl w:val="0"/>
        <w:kinsoku/>
        <w:wordWrap/>
        <w:overflowPunct/>
        <w:topLinePunct w:val="0"/>
        <w:autoSpaceDE/>
        <w:autoSpaceDN/>
        <w:bidi w:val="0"/>
        <w:adjustRightInd/>
        <w:snapToGrid/>
        <w:spacing w:line="360" w:lineRule="auto"/>
        <w:ind w:firstLine="482"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bCs/>
          <w:sz w:val="24"/>
          <w:szCs w:val="24"/>
          <w:lang w:val="en-US" w:eastAsia="zh-CN"/>
        </w:rPr>
        <w:t>最</w:t>
      </w:r>
      <w:r>
        <w:rPr>
          <w:rFonts w:hint="eastAsia" w:ascii="Times New Roman" w:hAnsi="Times New Roman" w:eastAsia="楷体" w:cs="Times New Roman"/>
          <w:b/>
          <w:bCs/>
          <w:sz w:val="24"/>
          <w:szCs w:val="24"/>
          <w:lang w:val="en-US" w:eastAsia="zh-CN"/>
        </w:rPr>
        <w:t>三层</w:t>
      </w:r>
      <w:r>
        <w:rPr>
          <w:rFonts w:hint="default" w:ascii="Times New Roman" w:hAnsi="Times New Roman" w:eastAsia="楷体" w:cs="Times New Roman"/>
          <w:b/>
          <w:bCs/>
          <w:sz w:val="24"/>
          <w:szCs w:val="24"/>
          <w:lang w:val="en-US" w:eastAsia="zh-CN"/>
        </w:rPr>
        <w:t>：</w:t>
      </w:r>
      <w:r>
        <w:rPr>
          <w:rFonts w:hint="eastAsia" w:ascii="Times New Roman" w:hAnsi="Times New Roman" w:eastAsia="楷体" w:cs="Times New Roman"/>
          <w:b/>
          <w:bCs/>
          <w:sz w:val="24"/>
          <w:szCs w:val="24"/>
          <w:lang w:val="en-US" w:eastAsia="zh-CN"/>
        </w:rPr>
        <w:t>产品干预可行性排序</w:t>
      </w:r>
    </w:p>
    <w:p w14:paraId="47B416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排序逻辑：</w:t>
      </w:r>
    </w:p>
    <w:p w14:paraId="41ED2A5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干预可行性</w:t>
      </w:r>
      <w:r>
        <w:rPr>
          <w:rFonts w:hint="eastAsia" w:ascii="Times New Roman" w:hAnsi="Times New Roman" w:eastAsia="楷体" w:cs="Times New Roman"/>
          <w:b w:val="0"/>
          <w:bCs w:val="0"/>
          <w:sz w:val="24"/>
          <w:szCs w:val="24"/>
          <w:lang w:val="en-US" w:eastAsia="zh-CN"/>
        </w:rPr>
        <w:t>：</w:t>
      </w:r>
      <w:r>
        <w:rPr>
          <w:rFonts w:hint="default" w:ascii="Times New Roman" w:hAnsi="Times New Roman" w:eastAsia="楷体" w:cs="Times New Roman"/>
          <w:b w:val="0"/>
          <w:bCs w:val="0"/>
          <w:sz w:val="24"/>
          <w:szCs w:val="24"/>
          <w:lang w:val="en-US" w:eastAsia="zh-CN"/>
        </w:rPr>
        <w:t>指的是某一健康风险是否具备清晰、可立即执行且能产生预期改善效果的干预路径</w:t>
      </w:r>
      <w:r>
        <w:rPr>
          <w:rFonts w:hint="eastAsia" w:ascii="Times New Roman" w:hAnsi="Times New Roman" w:eastAsia="楷体" w:cs="Times New Roman"/>
          <w:b w:val="0"/>
          <w:bCs w:val="0"/>
          <w:sz w:val="24"/>
          <w:szCs w:val="24"/>
          <w:lang w:val="en-US" w:eastAsia="zh-CN"/>
        </w:rPr>
        <w:t>。</w:t>
      </w:r>
    </w:p>
    <w:p w14:paraId="40B016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default" w:ascii="Times New Roman" w:hAnsi="Times New Roman" w:eastAsia="楷体" w:cs="Times New Roman"/>
          <w:b w:val="0"/>
          <w:bCs w:val="0"/>
          <w:sz w:val="24"/>
          <w:szCs w:val="24"/>
          <w:lang w:val="en-US" w:eastAsia="zh-CN"/>
        </w:rPr>
        <w:t>明确可干预＞部分可干预＞干预模糊</w:t>
      </w:r>
    </w:p>
    <w:p w14:paraId="7307EC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lang w:val="en-US" w:eastAsia="zh-CN"/>
        </w:rPr>
      </w:pPr>
      <w:r>
        <w:rPr>
          <w:rFonts w:hint="eastAsia" w:ascii="Times New Roman" w:hAnsi="Times New Roman" w:eastAsia="楷体" w:cs="Times New Roman"/>
          <w:b w:val="0"/>
          <w:bCs w:val="0"/>
          <w:sz w:val="24"/>
          <w:szCs w:val="24"/>
          <w:lang w:val="en-US" w:eastAsia="zh-CN"/>
        </w:rPr>
        <w:t>具体顺序：</w:t>
      </w:r>
    </w:p>
    <w:p w14:paraId="6E717722">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Times New Roman" w:hAnsi="Times New Roman" w:eastAsia="楷体"/>
          <w:sz w:val="24"/>
          <w:szCs w:val="24"/>
          <w:lang w:eastAsia="zh-CN"/>
        </w:rPr>
      </w:pPr>
      <w:r>
        <w:rPr>
          <w:rFonts w:hint="eastAsia" w:ascii="Times New Roman" w:hAnsi="Times New Roman" w:eastAsia="楷体"/>
          <w:sz w:val="24"/>
          <w:szCs w:val="24"/>
          <w:lang w:val="en-US" w:eastAsia="zh-CN"/>
        </w:rPr>
        <w:t>1</w:t>
      </w:r>
      <w:r>
        <w:rPr>
          <w:rFonts w:hint="eastAsia" w:ascii="Times New Roman" w:hAnsi="Times New Roman" w:eastAsia="楷体"/>
          <w:sz w:val="24"/>
          <w:szCs w:val="24"/>
        </w:rPr>
        <w:t xml:space="preserve">. </w:t>
      </w:r>
      <w:r>
        <w:rPr>
          <w:rFonts w:hint="eastAsia" w:ascii="Times New Roman" w:hAnsi="Times New Roman" w:eastAsia="楷体"/>
          <w:sz w:val="24"/>
          <w:szCs w:val="24"/>
          <w:lang w:val="en-US" w:eastAsia="zh-CN"/>
        </w:rPr>
        <w:t>心血</w:t>
      </w:r>
      <w:r>
        <w:rPr>
          <w:rFonts w:hint="eastAsia" w:ascii="Times New Roman" w:hAnsi="Times New Roman" w:eastAsia="楷体"/>
          <w:sz w:val="24"/>
          <w:szCs w:val="24"/>
        </w:rPr>
        <w:t>管代谢状态评估</w:t>
      </w:r>
    </w:p>
    <w:tbl>
      <w:tblPr>
        <w:tblStyle w:val="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75"/>
        <w:gridCol w:w="3455"/>
      </w:tblGrid>
      <w:tr w14:paraId="3D018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0F4979DD">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rPr>
            </w:pPr>
            <w:r>
              <w:rPr>
                <w:rFonts w:hint="eastAsia" w:ascii="Times New Roman" w:hAnsi="Times New Roman" w:eastAsia="楷体"/>
                <w:sz w:val="24"/>
                <w:szCs w:val="24"/>
                <w:lang w:val="en-US" w:eastAsia="zh-CN"/>
              </w:rPr>
              <w:t>排序</w:t>
            </w:r>
          </w:p>
        </w:tc>
        <w:tc>
          <w:tcPr>
            <w:tcW w:w="0" w:type="auto"/>
            <w:shd w:val="clear" w:color="auto" w:fill="auto"/>
            <w:vAlign w:val="center"/>
          </w:tcPr>
          <w:p w14:paraId="0865AE7D">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rPr>
            </w:pPr>
            <w:r>
              <w:rPr>
                <w:rFonts w:hint="eastAsia" w:ascii="Times New Roman" w:hAnsi="Times New Roman" w:eastAsia="楷体"/>
                <w:sz w:val="24"/>
                <w:szCs w:val="24"/>
                <w:lang w:val="en-US" w:eastAsia="zh-CN"/>
              </w:rPr>
              <w:t>产品名称</w:t>
            </w:r>
          </w:p>
        </w:tc>
      </w:tr>
      <w:tr w14:paraId="4B24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2787531E">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lang w:val="en-US" w:eastAsia="zh-CN"/>
              </w:rPr>
            </w:pPr>
            <w:r>
              <w:rPr>
                <w:rFonts w:hint="eastAsia" w:ascii="Times New Roman" w:hAnsi="Times New Roman" w:eastAsia="楷体"/>
                <w:sz w:val="24"/>
                <w:szCs w:val="24"/>
                <w:lang w:val="en-US" w:eastAsia="zh-CN"/>
              </w:rPr>
              <w:t>1</w:t>
            </w:r>
          </w:p>
        </w:tc>
        <w:tc>
          <w:tcPr>
            <w:tcW w:w="0" w:type="auto"/>
            <w:shd w:val="clear" w:color="auto" w:fill="auto"/>
            <w:vAlign w:val="center"/>
          </w:tcPr>
          <w:p w14:paraId="79B3C241">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rPr>
            </w:pPr>
            <w:r>
              <w:rPr>
                <w:rFonts w:hint="eastAsia" w:ascii="Times New Roman" w:hAnsi="Times New Roman" w:eastAsia="楷体"/>
                <w:sz w:val="24"/>
                <w:szCs w:val="24"/>
                <w:lang w:val="en-US" w:eastAsia="zh-CN"/>
              </w:rPr>
              <w:t>卒中风险评分</w:t>
            </w:r>
          </w:p>
        </w:tc>
      </w:tr>
      <w:tr w14:paraId="269DB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17126962">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lang w:val="en-US" w:eastAsia="zh-CN"/>
              </w:rPr>
            </w:pPr>
            <w:r>
              <w:rPr>
                <w:rFonts w:hint="eastAsia" w:ascii="Times New Roman" w:hAnsi="Times New Roman" w:eastAsia="楷体"/>
                <w:sz w:val="24"/>
                <w:szCs w:val="24"/>
                <w:lang w:val="en-US" w:eastAsia="zh-CN"/>
              </w:rPr>
              <w:t>2</w:t>
            </w:r>
          </w:p>
        </w:tc>
        <w:tc>
          <w:tcPr>
            <w:tcW w:w="0" w:type="auto"/>
            <w:shd w:val="clear" w:color="auto" w:fill="auto"/>
            <w:vAlign w:val="center"/>
          </w:tcPr>
          <w:p w14:paraId="4D446C41">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rPr>
            </w:pPr>
            <w:r>
              <w:rPr>
                <w:rFonts w:hint="eastAsia" w:ascii="Times New Roman" w:hAnsi="Times New Roman" w:eastAsia="楷体"/>
                <w:sz w:val="24"/>
                <w:szCs w:val="24"/>
                <w:lang w:val="en-US" w:eastAsia="zh-CN"/>
              </w:rPr>
              <w:t>房颤患者中风风险评估</w:t>
            </w:r>
          </w:p>
        </w:tc>
      </w:tr>
      <w:tr w14:paraId="0B28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75DC6B2B">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lang w:val="en-US" w:eastAsia="zh-CN"/>
              </w:rPr>
            </w:pPr>
            <w:r>
              <w:rPr>
                <w:rFonts w:hint="eastAsia" w:ascii="Times New Roman" w:hAnsi="Times New Roman" w:eastAsia="楷体"/>
                <w:sz w:val="24"/>
                <w:szCs w:val="24"/>
                <w:lang w:val="en-US" w:eastAsia="zh-CN"/>
              </w:rPr>
              <w:t>3</w:t>
            </w:r>
          </w:p>
        </w:tc>
        <w:tc>
          <w:tcPr>
            <w:tcW w:w="0" w:type="auto"/>
            <w:shd w:val="clear" w:color="auto" w:fill="auto"/>
            <w:vAlign w:val="center"/>
          </w:tcPr>
          <w:p w14:paraId="4A12899B">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rPr>
            </w:pPr>
            <w:r>
              <w:rPr>
                <w:rFonts w:hint="eastAsia" w:ascii="Times New Roman" w:hAnsi="Times New Roman" w:eastAsia="楷体"/>
                <w:sz w:val="24"/>
                <w:szCs w:val="24"/>
                <w:lang w:val="en-US" w:eastAsia="zh-CN"/>
              </w:rPr>
              <w:t>心血管疾病风险预测</w:t>
            </w:r>
          </w:p>
        </w:tc>
      </w:tr>
      <w:tr w14:paraId="44CE6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305829AD">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lang w:val="en-US" w:eastAsia="zh-CN"/>
              </w:rPr>
            </w:pPr>
            <w:r>
              <w:rPr>
                <w:rFonts w:hint="eastAsia" w:ascii="Times New Roman" w:hAnsi="Times New Roman" w:eastAsia="楷体"/>
                <w:sz w:val="24"/>
                <w:szCs w:val="24"/>
                <w:lang w:val="en-US" w:eastAsia="zh-CN"/>
              </w:rPr>
              <w:t>4</w:t>
            </w:r>
          </w:p>
        </w:tc>
        <w:tc>
          <w:tcPr>
            <w:tcW w:w="0" w:type="auto"/>
            <w:shd w:val="clear" w:color="auto" w:fill="auto"/>
            <w:vAlign w:val="center"/>
          </w:tcPr>
          <w:p w14:paraId="4ED37E32">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rPr>
            </w:pPr>
            <w:r>
              <w:rPr>
                <w:rFonts w:hint="eastAsia" w:ascii="Times New Roman" w:hAnsi="Times New Roman" w:eastAsia="楷体"/>
                <w:sz w:val="24"/>
                <w:szCs w:val="24"/>
                <w:lang w:val="en-US" w:eastAsia="zh-CN"/>
              </w:rPr>
              <w:t>心脏代谢风险评估</w:t>
            </w:r>
          </w:p>
        </w:tc>
      </w:tr>
      <w:tr w14:paraId="620F7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496E8624">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default" w:ascii="Times New Roman" w:hAnsi="Times New Roman" w:eastAsia="楷体"/>
                <w:sz w:val="24"/>
                <w:szCs w:val="24"/>
                <w:lang w:val="en-US" w:eastAsia="zh-CN"/>
              </w:rPr>
            </w:pPr>
            <w:r>
              <w:rPr>
                <w:rFonts w:hint="eastAsia" w:ascii="Times New Roman" w:hAnsi="Times New Roman" w:eastAsia="楷体"/>
                <w:sz w:val="24"/>
                <w:szCs w:val="24"/>
                <w:lang w:val="en-US" w:eastAsia="zh-CN"/>
              </w:rPr>
              <w:t>5</w:t>
            </w:r>
          </w:p>
        </w:tc>
        <w:tc>
          <w:tcPr>
            <w:tcW w:w="0" w:type="auto"/>
            <w:shd w:val="clear" w:color="auto" w:fill="auto"/>
            <w:vAlign w:val="center"/>
          </w:tcPr>
          <w:p w14:paraId="4F32054B">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rPr>
            </w:pPr>
            <w:r>
              <w:rPr>
                <w:rFonts w:hint="eastAsia" w:ascii="Times New Roman" w:hAnsi="Times New Roman" w:eastAsia="楷体"/>
                <w:sz w:val="24"/>
                <w:szCs w:val="24"/>
                <w:lang w:val="en-US" w:eastAsia="zh-CN"/>
              </w:rPr>
              <w:t>中风康复人群新发房颤风险评估</w:t>
            </w:r>
          </w:p>
        </w:tc>
      </w:tr>
      <w:tr w14:paraId="0831B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5312CDFA">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default" w:ascii="Times New Roman" w:hAnsi="Times New Roman" w:eastAsia="楷体"/>
                <w:sz w:val="24"/>
                <w:szCs w:val="24"/>
                <w:lang w:val="en-US" w:eastAsia="zh-CN"/>
              </w:rPr>
            </w:pPr>
            <w:r>
              <w:rPr>
                <w:rFonts w:hint="eastAsia" w:ascii="Times New Roman" w:hAnsi="Times New Roman" w:eastAsia="楷体"/>
                <w:sz w:val="24"/>
                <w:szCs w:val="24"/>
                <w:lang w:val="en-US" w:eastAsia="zh-CN"/>
              </w:rPr>
              <w:t>6</w:t>
            </w:r>
          </w:p>
        </w:tc>
        <w:tc>
          <w:tcPr>
            <w:tcW w:w="0" w:type="auto"/>
            <w:shd w:val="clear" w:color="auto" w:fill="auto"/>
            <w:vAlign w:val="center"/>
          </w:tcPr>
          <w:p w14:paraId="1BF5983E">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lang w:val="en-US" w:eastAsia="zh-CN"/>
              </w:rPr>
            </w:pPr>
            <w:r>
              <w:rPr>
                <w:rFonts w:hint="eastAsia" w:ascii="Times New Roman" w:hAnsi="Times New Roman" w:eastAsia="楷体"/>
                <w:sz w:val="24"/>
                <w:szCs w:val="24"/>
                <w:highlight w:val="none"/>
                <w:lang w:val="en-US" w:eastAsia="zh-CN"/>
              </w:rPr>
              <w:t>房颤患者出血风险评估</w:t>
            </w:r>
          </w:p>
        </w:tc>
      </w:tr>
    </w:tbl>
    <w:p w14:paraId="26A46D92">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Times New Roman" w:hAnsi="Times New Roman" w:eastAsia="楷体"/>
          <w:sz w:val="24"/>
          <w:szCs w:val="24"/>
          <w:highlight w:val="none"/>
        </w:rPr>
      </w:pPr>
    </w:p>
    <w:p w14:paraId="4B9975CB">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Times New Roman" w:hAnsi="Times New Roman" w:eastAsia="楷体"/>
          <w:sz w:val="24"/>
          <w:szCs w:val="24"/>
          <w:highlight w:val="none"/>
          <w:lang w:eastAsia="zh-CN"/>
        </w:rPr>
      </w:pPr>
      <w:r>
        <w:rPr>
          <w:rFonts w:hint="eastAsia" w:ascii="Times New Roman" w:hAnsi="Times New Roman" w:eastAsia="楷体"/>
          <w:sz w:val="24"/>
          <w:szCs w:val="24"/>
          <w:highlight w:val="none"/>
        </w:rPr>
        <w:t>2. 多癌种</w:t>
      </w:r>
      <w:r>
        <w:rPr>
          <w:rFonts w:hint="eastAsia" w:ascii="Times New Roman" w:hAnsi="Times New Roman" w:eastAsia="楷体"/>
          <w:sz w:val="24"/>
          <w:szCs w:val="24"/>
          <w:highlight w:val="none"/>
          <w:lang w:val="en-US" w:eastAsia="zh-CN"/>
        </w:rPr>
        <w:t>风</w:t>
      </w:r>
      <w:r>
        <w:rPr>
          <w:rFonts w:hint="eastAsia" w:ascii="Times New Roman" w:hAnsi="Times New Roman" w:eastAsia="楷体"/>
          <w:sz w:val="24"/>
          <w:szCs w:val="24"/>
          <w:highlight w:val="none"/>
        </w:rPr>
        <w:t>险评估</w:t>
      </w:r>
    </w:p>
    <w:tbl>
      <w:tblPr>
        <w:tblStyle w:val="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667"/>
        <w:gridCol w:w="4323"/>
      </w:tblGrid>
      <w:tr w14:paraId="0CE39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622" w:type="dxa"/>
            <w:shd w:val="clear" w:color="auto" w:fill="auto"/>
            <w:vAlign w:val="center"/>
          </w:tcPr>
          <w:p w14:paraId="4C7FE177">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cs="Times New Roman"/>
                <w:sz w:val="24"/>
                <w:szCs w:val="24"/>
                <w:highlight w:val="none"/>
              </w:rPr>
            </w:pPr>
            <w:r>
              <w:rPr>
                <w:rFonts w:hint="eastAsia" w:ascii="Times New Roman" w:hAnsi="Times New Roman" w:eastAsia="楷体" w:cs="Times New Roman"/>
                <w:sz w:val="24"/>
                <w:szCs w:val="24"/>
                <w:highlight w:val="none"/>
                <w:lang w:val="en-US" w:eastAsia="zh-CN"/>
              </w:rPr>
              <w:t>排序</w:t>
            </w:r>
          </w:p>
        </w:tc>
        <w:tc>
          <w:tcPr>
            <w:tcW w:w="4278" w:type="dxa"/>
            <w:shd w:val="clear" w:color="auto" w:fill="auto"/>
            <w:vAlign w:val="center"/>
          </w:tcPr>
          <w:p w14:paraId="5374E7D7">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cs="Times New Roman"/>
                <w:sz w:val="24"/>
                <w:szCs w:val="24"/>
                <w:highlight w:val="none"/>
              </w:rPr>
            </w:pPr>
            <w:r>
              <w:rPr>
                <w:rFonts w:hint="eastAsia" w:ascii="Times New Roman" w:hAnsi="Times New Roman" w:eastAsia="楷体" w:cs="Times New Roman"/>
                <w:sz w:val="24"/>
                <w:szCs w:val="24"/>
                <w:highlight w:val="none"/>
                <w:lang w:val="en-US" w:eastAsia="zh-CN"/>
              </w:rPr>
              <w:t>产品名称</w:t>
            </w:r>
          </w:p>
        </w:tc>
      </w:tr>
      <w:tr w14:paraId="03FD9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622" w:type="dxa"/>
            <w:shd w:val="clear" w:color="auto" w:fill="auto"/>
            <w:vAlign w:val="center"/>
          </w:tcPr>
          <w:p w14:paraId="74080AC5">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cs="Times New Roman"/>
                <w:sz w:val="24"/>
                <w:szCs w:val="24"/>
                <w:highlight w:val="none"/>
              </w:rPr>
            </w:pPr>
            <w:r>
              <w:rPr>
                <w:rFonts w:hint="eastAsia" w:ascii="Times New Roman" w:hAnsi="Times New Roman" w:eastAsia="楷体" w:cs="Times New Roman"/>
                <w:sz w:val="24"/>
                <w:szCs w:val="24"/>
                <w:highlight w:val="none"/>
                <w:lang w:val="en-US" w:eastAsia="zh-CN"/>
              </w:rPr>
              <w:t>1</w:t>
            </w:r>
          </w:p>
        </w:tc>
        <w:tc>
          <w:tcPr>
            <w:tcW w:w="4278" w:type="dxa"/>
            <w:shd w:val="clear" w:color="auto" w:fill="auto"/>
            <w:vAlign w:val="center"/>
          </w:tcPr>
          <w:p w14:paraId="2BB9AAED">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cs="Times New Roman"/>
                <w:sz w:val="24"/>
                <w:szCs w:val="24"/>
                <w:highlight w:val="none"/>
              </w:rPr>
            </w:pPr>
            <w:r>
              <w:rPr>
                <w:rFonts w:hint="eastAsia" w:ascii="Times New Roman" w:hAnsi="Times New Roman" w:eastAsia="楷体" w:cs="Times New Roman"/>
                <w:sz w:val="24"/>
                <w:szCs w:val="24"/>
                <w:highlight w:val="none"/>
                <w:lang w:val="en-US" w:eastAsia="zh-CN"/>
              </w:rPr>
              <w:t>慢性乙型肝炎患者患肝细胞癌风险预测</w:t>
            </w:r>
          </w:p>
        </w:tc>
      </w:tr>
      <w:tr w14:paraId="0CCB5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622" w:type="dxa"/>
            <w:shd w:val="clear" w:color="auto" w:fill="auto"/>
            <w:vAlign w:val="center"/>
          </w:tcPr>
          <w:p w14:paraId="160BDA1F">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cs="Times New Roman"/>
                <w:sz w:val="24"/>
                <w:szCs w:val="24"/>
                <w:highlight w:val="none"/>
              </w:rPr>
            </w:pPr>
            <w:r>
              <w:rPr>
                <w:rFonts w:hint="eastAsia" w:ascii="Times New Roman" w:hAnsi="Times New Roman" w:eastAsia="楷体" w:cs="Times New Roman"/>
                <w:sz w:val="24"/>
                <w:szCs w:val="24"/>
                <w:highlight w:val="none"/>
                <w:lang w:val="en-US" w:eastAsia="zh-CN"/>
              </w:rPr>
              <w:t>2</w:t>
            </w:r>
          </w:p>
        </w:tc>
        <w:tc>
          <w:tcPr>
            <w:tcW w:w="4278" w:type="dxa"/>
            <w:shd w:val="clear" w:color="auto" w:fill="auto"/>
            <w:vAlign w:val="center"/>
          </w:tcPr>
          <w:p w14:paraId="29556F67">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cs="Times New Roman"/>
                <w:sz w:val="24"/>
                <w:szCs w:val="24"/>
                <w:highlight w:val="none"/>
              </w:rPr>
            </w:pPr>
            <w:r>
              <w:rPr>
                <w:rFonts w:hint="eastAsia" w:ascii="Times New Roman" w:hAnsi="Times New Roman" w:eastAsia="楷体" w:cs="Times New Roman"/>
                <w:sz w:val="24"/>
                <w:szCs w:val="24"/>
                <w:highlight w:val="none"/>
                <w:lang w:val="en-US" w:eastAsia="zh-CN"/>
              </w:rPr>
              <w:t>患结直肠癌风险评估</w:t>
            </w:r>
          </w:p>
        </w:tc>
      </w:tr>
      <w:tr w14:paraId="5717F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622" w:type="dxa"/>
            <w:shd w:val="clear" w:color="auto" w:fill="auto"/>
            <w:vAlign w:val="center"/>
          </w:tcPr>
          <w:p w14:paraId="17E77431">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cs="Times New Roman"/>
                <w:sz w:val="24"/>
                <w:szCs w:val="24"/>
                <w:highlight w:val="none"/>
              </w:rPr>
            </w:pPr>
            <w:r>
              <w:rPr>
                <w:rFonts w:hint="eastAsia" w:ascii="Times New Roman" w:hAnsi="Times New Roman" w:eastAsia="楷体" w:cs="Times New Roman"/>
                <w:sz w:val="24"/>
                <w:szCs w:val="24"/>
                <w:highlight w:val="none"/>
                <w:lang w:val="en-US" w:eastAsia="zh-CN"/>
              </w:rPr>
              <w:t>3</w:t>
            </w:r>
          </w:p>
        </w:tc>
        <w:tc>
          <w:tcPr>
            <w:tcW w:w="4278" w:type="dxa"/>
            <w:shd w:val="clear" w:color="auto" w:fill="auto"/>
            <w:vAlign w:val="center"/>
          </w:tcPr>
          <w:p w14:paraId="4115DECD">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cs="Times New Roman"/>
                <w:sz w:val="24"/>
                <w:szCs w:val="24"/>
                <w:highlight w:val="none"/>
              </w:rPr>
            </w:pPr>
            <w:r>
              <w:rPr>
                <w:rFonts w:hint="eastAsia" w:ascii="Times New Roman" w:hAnsi="Times New Roman" w:eastAsia="楷体" w:cs="Times New Roman"/>
                <w:sz w:val="24"/>
                <w:szCs w:val="24"/>
                <w:highlight w:val="none"/>
                <w:lang w:val="en-US" w:eastAsia="zh-CN"/>
              </w:rPr>
              <w:t>患癌风险评估</w:t>
            </w:r>
          </w:p>
        </w:tc>
      </w:tr>
    </w:tbl>
    <w:p w14:paraId="166F6D42">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Times New Roman" w:hAnsi="Times New Roman" w:eastAsia="楷体"/>
          <w:sz w:val="24"/>
          <w:szCs w:val="24"/>
          <w:highlight w:val="none"/>
        </w:rPr>
      </w:pPr>
    </w:p>
    <w:p w14:paraId="34B58A62">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Times New Roman" w:hAnsi="Times New Roman" w:eastAsia="楷体"/>
          <w:sz w:val="24"/>
          <w:szCs w:val="24"/>
          <w:highlight w:val="none"/>
          <w:lang w:eastAsia="zh-CN"/>
        </w:rPr>
      </w:pPr>
      <w:r>
        <w:rPr>
          <w:rFonts w:hint="eastAsia" w:ascii="Times New Roman" w:hAnsi="Times New Roman" w:eastAsia="楷体"/>
          <w:sz w:val="24"/>
          <w:szCs w:val="24"/>
          <w:highlight w:val="none"/>
          <w:lang w:val="en-US" w:eastAsia="zh-CN"/>
        </w:rPr>
        <w:t>3</w:t>
      </w:r>
      <w:r>
        <w:rPr>
          <w:rFonts w:hint="eastAsia" w:ascii="Times New Roman" w:hAnsi="Times New Roman" w:eastAsia="楷体"/>
          <w:sz w:val="24"/>
          <w:szCs w:val="24"/>
          <w:highlight w:val="none"/>
        </w:rPr>
        <w:t>. 呼吸系统慢病</w:t>
      </w:r>
      <w:r>
        <w:rPr>
          <w:rFonts w:hint="eastAsia" w:ascii="Times New Roman" w:hAnsi="Times New Roman" w:eastAsia="楷体"/>
          <w:sz w:val="24"/>
          <w:szCs w:val="24"/>
          <w:highlight w:val="none"/>
          <w:lang w:val="en-US" w:eastAsia="zh-CN"/>
        </w:rPr>
        <w:t>风</w:t>
      </w:r>
      <w:r>
        <w:rPr>
          <w:rFonts w:hint="eastAsia" w:ascii="Times New Roman" w:hAnsi="Times New Roman" w:eastAsia="楷体"/>
          <w:sz w:val="24"/>
          <w:szCs w:val="24"/>
          <w:highlight w:val="none"/>
        </w:rPr>
        <w:t>险筛查</w:t>
      </w:r>
    </w:p>
    <w:tbl>
      <w:tblPr>
        <w:tblStyle w:val="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75"/>
        <w:gridCol w:w="2975"/>
      </w:tblGrid>
      <w:tr w14:paraId="2FD2D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2D536393">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eastAsia="zh-CN"/>
              </w:rPr>
            </w:pPr>
            <w:r>
              <w:rPr>
                <w:rFonts w:hint="eastAsia" w:ascii="Times New Roman" w:hAnsi="Times New Roman" w:eastAsia="楷体"/>
                <w:sz w:val="24"/>
                <w:szCs w:val="24"/>
                <w:highlight w:val="none"/>
                <w:lang w:val="en-US" w:eastAsia="zh-CN"/>
              </w:rPr>
              <w:t>排名</w:t>
            </w:r>
          </w:p>
        </w:tc>
        <w:tc>
          <w:tcPr>
            <w:tcW w:w="0" w:type="auto"/>
            <w:shd w:val="clear" w:color="auto" w:fill="auto"/>
            <w:vAlign w:val="center"/>
          </w:tcPr>
          <w:p w14:paraId="5502D82B">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eastAsia="zh-CN"/>
              </w:rPr>
            </w:pPr>
            <w:r>
              <w:rPr>
                <w:rFonts w:hint="eastAsia" w:ascii="Times New Roman" w:hAnsi="Times New Roman" w:eastAsia="楷体"/>
                <w:sz w:val="24"/>
                <w:szCs w:val="24"/>
                <w:highlight w:val="none"/>
                <w:lang w:val="en-US" w:eastAsia="zh-CN"/>
              </w:rPr>
              <w:t>产品名称</w:t>
            </w:r>
          </w:p>
        </w:tc>
      </w:tr>
      <w:tr w14:paraId="14AA1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73C83686">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eastAsia="zh-CN"/>
              </w:rPr>
            </w:pPr>
            <w:r>
              <w:rPr>
                <w:rFonts w:hint="eastAsia" w:ascii="Times New Roman" w:hAnsi="Times New Roman" w:eastAsia="楷体"/>
                <w:sz w:val="24"/>
                <w:szCs w:val="24"/>
                <w:highlight w:val="none"/>
                <w:lang w:val="en-US" w:eastAsia="zh-CN"/>
              </w:rPr>
              <w:t>1</w:t>
            </w:r>
          </w:p>
        </w:tc>
        <w:tc>
          <w:tcPr>
            <w:tcW w:w="0" w:type="auto"/>
            <w:shd w:val="clear" w:color="auto" w:fill="auto"/>
            <w:vAlign w:val="center"/>
          </w:tcPr>
          <w:p w14:paraId="662F4A99">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eastAsia="zh-CN"/>
              </w:rPr>
            </w:pPr>
            <w:r>
              <w:rPr>
                <w:rFonts w:hint="eastAsia" w:ascii="Times New Roman" w:hAnsi="Times New Roman" w:eastAsia="楷体"/>
                <w:sz w:val="24"/>
                <w:szCs w:val="24"/>
                <w:highlight w:val="none"/>
                <w:lang w:val="en-US" w:eastAsia="zh-CN"/>
              </w:rPr>
              <w:t>慢性阻塞性肺疾病筛查工具</w:t>
            </w:r>
          </w:p>
        </w:tc>
      </w:tr>
    </w:tbl>
    <w:p w14:paraId="0AC8845E">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Times New Roman" w:hAnsi="Times New Roman" w:eastAsia="楷体"/>
          <w:sz w:val="24"/>
          <w:szCs w:val="24"/>
          <w:highlight w:val="none"/>
        </w:rPr>
      </w:pPr>
    </w:p>
    <w:p w14:paraId="0A2206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r>
        <w:rPr>
          <w:rFonts w:hint="eastAsia" w:ascii="Times New Roman" w:hAnsi="Times New Roman" w:eastAsia="楷体" w:cs="Times New Roman"/>
          <w:b w:val="0"/>
          <w:bCs w:val="0"/>
          <w:sz w:val="24"/>
          <w:szCs w:val="24"/>
          <w:highlight w:val="none"/>
          <w:lang w:val="en-US" w:eastAsia="zh-CN"/>
        </w:rPr>
        <w:t>4</w:t>
      </w:r>
      <w:r>
        <w:rPr>
          <w:rFonts w:hint="default" w:ascii="Times New Roman" w:hAnsi="Times New Roman" w:eastAsia="楷体" w:cs="Times New Roman"/>
          <w:b w:val="0"/>
          <w:bCs w:val="0"/>
          <w:sz w:val="24"/>
          <w:szCs w:val="24"/>
          <w:highlight w:val="none"/>
          <w:lang w:val="en-US" w:eastAsia="zh-CN"/>
        </w:rPr>
        <w:t>. 肾功能与电解质平衡分析</w:t>
      </w:r>
    </w:p>
    <w:tbl>
      <w:tblPr>
        <w:tblStyle w:val="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75"/>
        <w:gridCol w:w="3215"/>
      </w:tblGrid>
      <w:tr w14:paraId="6DE38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1E994348">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排序</w:t>
            </w:r>
          </w:p>
        </w:tc>
        <w:tc>
          <w:tcPr>
            <w:tcW w:w="0" w:type="auto"/>
            <w:shd w:val="clear" w:color="auto" w:fill="auto"/>
            <w:vAlign w:val="center"/>
          </w:tcPr>
          <w:p w14:paraId="69735EA5">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产品名称</w:t>
            </w:r>
          </w:p>
        </w:tc>
      </w:tr>
      <w:tr w14:paraId="6FFE8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08543F3">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1</w:t>
            </w:r>
          </w:p>
        </w:tc>
        <w:tc>
          <w:tcPr>
            <w:tcW w:w="0" w:type="auto"/>
            <w:shd w:val="clear" w:color="auto" w:fill="auto"/>
            <w:vAlign w:val="center"/>
          </w:tcPr>
          <w:p w14:paraId="233E4BC0">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default" w:ascii="Times New Roman" w:hAnsi="Times New Roman" w:eastAsia="楷体" w:cs="Times New Roman"/>
                <w:sz w:val="24"/>
                <w:szCs w:val="24"/>
                <w:highlight w:val="none"/>
              </w:rPr>
              <w:t>肾</w:t>
            </w:r>
            <w:r>
              <w:rPr>
                <w:rFonts w:hint="eastAsia" w:ascii="Times New Roman" w:hAnsi="Times New Roman" w:eastAsia="楷体" w:cs="Times New Roman"/>
                <w:sz w:val="24"/>
                <w:szCs w:val="24"/>
                <w:highlight w:val="none"/>
                <w:lang w:val="en-US" w:eastAsia="zh-CN"/>
              </w:rPr>
              <w:t>功能</w:t>
            </w:r>
            <w:r>
              <w:rPr>
                <w:rFonts w:hint="default" w:ascii="Times New Roman" w:hAnsi="Times New Roman" w:eastAsia="楷体" w:cs="Times New Roman"/>
                <w:sz w:val="24"/>
                <w:szCs w:val="24"/>
                <w:highlight w:val="none"/>
              </w:rPr>
              <w:t>风险</w:t>
            </w:r>
            <w:r>
              <w:rPr>
                <w:rFonts w:hint="eastAsia" w:ascii="Times New Roman" w:hAnsi="Times New Roman" w:eastAsia="楷体" w:cs="Times New Roman"/>
                <w:sz w:val="24"/>
                <w:szCs w:val="24"/>
                <w:highlight w:val="none"/>
                <w:lang w:val="en-US" w:eastAsia="zh-CN"/>
              </w:rPr>
              <w:t>模型</w:t>
            </w:r>
          </w:p>
        </w:tc>
      </w:tr>
      <w:tr w14:paraId="114AD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1C09751">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default"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2</w:t>
            </w:r>
          </w:p>
        </w:tc>
        <w:tc>
          <w:tcPr>
            <w:tcW w:w="0" w:type="auto"/>
            <w:shd w:val="clear" w:color="auto" w:fill="auto"/>
            <w:vAlign w:val="center"/>
          </w:tcPr>
          <w:p w14:paraId="5C809242">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慢性肾脏病进展风险预测工具</w:t>
            </w:r>
          </w:p>
        </w:tc>
      </w:tr>
    </w:tbl>
    <w:p w14:paraId="095A62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p>
    <w:p w14:paraId="0E46C9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r>
        <w:rPr>
          <w:rFonts w:hint="eastAsia" w:ascii="Times New Roman" w:hAnsi="Times New Roman" w:eastAsia="楷体" w:cs="Times New Roman"/>
          <w:b w:val="0"/>
          <w:bCs w:val="0"/>
          <w:sz w:val="24"/>
          <w:szCs w:val="24"/>
          <w:highlight w:val="none"/>
          <w:lang w:val="en-US" w:eastAsia="zh-CN"/>
        </w:rPr>
        <w:t>5</w:t>
      </w:r>
      <w:r>
        <w:rPr>
          <w:rFonts w:hint="default" w:ascii="Times New Roman" w:hAnsi="Times New Roman" w:eastAsia="楷体" w:cs="Times New Roman"/>
          <w:b w:val="0"/>
          <w:bCs w:val="0"/>
          <w:sz w:val="24"/>
          <w:szCs w:val="24"/>
          <w:highlight w:val="none"/>
          <w:lang w:val="en-US" w:eastAsia="zh-CN"/>
        </w:rPr>
        <w:t>. 糖代谢与胰岛功能风险评估</w:t>
      </w:r>
    </w:p>
    <w:tbl>
      <w:tblPr>
        <w:tblStyle w:val="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75"/>
        <w:gridCol w:w="5135"/>
      </w:tblGrid>
      <w:tr w14:paraId="3B79F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0C22C74A">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rPr>
            </w:pPr>
            <w:r>
              <w:rPr>
                <w:rFonts w:hint="eastAsia" w:ascii="Times New Roman" w:hAnsi="Times New Roman" w:eastAsia="楷体"/>
                <w:sz w:val="24"/>
                <w:szCs w:val="24"/>
                <w:highlight w:val="none"/>
                <w:lang w:val="en-US" w:eastAsia="zh-CN"/>
              </w:rPr>
              <w:t>排序</w:t>
            </w:r>
          </w:p>
        </w:tc>
        <w:tc>
          <w:tcPr>
            <w:tcW w:w="0" w:type="auto"/>
            <w:shd w:val="clear" w:color="auto" w:fill="auto"/>
            <w:vAlign w:val="center"/>
          </w:tcPr>
          <w:p w14:paraId="35793E7F">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rPr>
            </w:pPr>
            <w:r>
              <w:rPr>
                <w:rFonts w:hint="eastAsia" w:ascii="Times New Roman" w:hAnsi="Times New Roman" w:eastAsia="楷体"/>
                <w:sz w:val="24"/>
                <w:szCs w:val="24"/>
                <w:highlight w:val="none"/>
                <w:lang w:val="en-US" w:eastAsia="zh-CN"/>
              </w:rPr>
              <w:t>产品名称</w:t>
            </w:r>
          </w:p>
        </w:tc>
      </w:tr>
      <w:tr w14:paraId="3B579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8B99DF2">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1</w:t>
            </w:r>
          </w:p>
        </w:tc>
        <w:tc>
          <w:tcPr>
            <w:tcW w:w="0" w:type="auto"/>
            <w:shd w:val="clear" w:color="auto" w:fill="auto"/>
            <w:vAlign w:val="center"/>
          </w:tcPr>
          <w:p w14:paraId="65A9BE64">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rPr>
            </w:pPr>
            <w:r>
              <w:rPr>
                <w:rFonts w:hint="eastAsia" w:ascii="Times New Roman" w:hAnsi="Times New Roman" w:eastAsia="楷体"/>
                <w:sz w:val="24"/>
                <w:szCs w:val="24"/>
                <w:highlight w:val="none"/>
                <w:lang w:val="en-US" w:eastAsia="zh-CN"/>
              </w:rPr>
              <w:t>5年内2型糖尿病发病风险评估</w:t>
            </w:r>
          </w:p>
        </w:tc>
      </w:tr>
      <w:tr w14:paraId="5AA39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0F8A4B8">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2</w:t>
            </w:r>
          </w:p>
        </w:tc>
        <w:tc>
          <w:tcPr>
            <w:tcW w:w="0" w:type="auto"/>
            <w:shd w:val="clear" w:color="auto" w:fill="auto"/>
            <w:vAlign w:val="center"/>
          </w:tcPr>
          <w:p w14:paraId="0BA86184">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rPr>
            </w:pPr>
            <w:r>
              <w:rPr>
                <w:rFonts w:hint="eastAsia" w:ascii="Times New Roman" w:hAnsi="Times New Roman" w:eastAsia="楷体"/>
                <w:sz w:val="24"/>
                <w:szCs w:val="24"/>
                <w:highlight w:val="none"/>
                <w:lang w:val="en-US" w:eastAsia="zh-CN"/>
              </w:rPr>
              <w:t>糖尿病风险计算器</w:t>
            </w:r>
          </w:p>
        </w:tc>
      </w:tr>
      <w:tr w14:paraId="3BD15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9B27025">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3</w:t>
            </w:r>
          </w:p>
        </w:tc>
        <w:tc>
          <w:tcPr>
            <w:tcW w:w="0" w:type="auto"/>
            <w:shd w:val="clear" w:color="auto" w:fill="auto"/>
            <w:vAlign w:val="center"/>
          </w:tcPr>
          <w:p w14:paraId="1F74082F">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rPr>
            </w:pPr>
            <w:r>
              <w:rPr>
                <w:rFonts w:hint="eastAsia" w:ascii="Times New Roman" w:hAnsi="Times New Roman" w:eastAsia="楷体"/>
                <w:sz w:val="24"/>
                <w:szCs w:val="24"/>
                <w:highlight w:val="none"/>
                <w:lang w:val="en-US" w:eastAsia="zh-CN"/>
              </w:rPr>
              <w:t>20–74岁人群糖尿病风险评估</w:t>
            </w:r>
          </w:p>
        </w:tc>
      </w:tr>
      <w:tr w14:paraId="18B18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0CE4C0D">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4</w:t>
            </w:r>
          </w:p>
        </w:tc>
        <w:tc>
          <w:tcPr>
            <w:tcW w:w="0" w:type="auto"/>
            <w:shd w:val="clear" w:color="auto" w:fill="auto"/>
            <w:vAlign w:val="center"/>
          </w:tcPr>
          <w:p w14:paraId="4260F6C1">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imes New Roman" w:hAnsi="Times New Roman" w:eastAsia="楷体"/>
                <w:sz w:val="24"/>
                <w:szCs w:val="24"/>
                <w:highlight w:val="none"/>
              </w:rPr>
            </w:pPr>
            <w:r>
              <w:rPr>
                <w:rFonts w:hint="default" w:ascii="Times New Roman" w:hAnsi="Times New Roman" w:eastAsia="楷体" w:cs="Times New Roman"/>
                <w:sz w:val="24"/>
                <w:szCs w:val="24"/>
                <w:highlight w:val="none"/>
              </w:rPr>
              <w:t>2型糖尿病发生风险评估工具（10年风险概率）</w:t>
            </w:r>
          </w:p>
        </w:tc>
      </w:tr>
    </w:tbl>
    <w:p w14:paraId="05F855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p>
    <w:p w14:paraId="683B11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r>
        <w:rPr>
          <w:rFonts w:hint="eastAsia" w:ascii="Times New Roman" w:hAnsi="Times New Roman" w:eastAsia="楷体" w:cs="Times New Roman"/>
          <w:b w:val="0"/>
          <w:bCs w:val="0"/>
          <w:sz w:val="24"/>
          <w:szCs w:val="24"/>
          <w:highlight w:val="none"/>
          <w:lang w:val="en-US" w:eastAsia="zh-CN"/>
        </w:rPr>
        <w:t>6</w:t>
      </w:r>
      <w:r>
        <w:rPr>
          <w:rFonts w:hint="default" w:ascii="Times New Roman" w:hAnsi="Times New Roman" w:eastAsia="楷体" w:cs="Times New Roman"/>
          <w:b w:val="0"/>
          <w:bCs w:val="0"/>
          <w:sz w:val="24"/>
          <w:szCs w:val="24"/>
          <w:highlight w:val="none"/>
          <w:lang w:val="en-US" w:eastAsia="zh-CN"/>
        </w:rPr>
        <w:t>. 内分泌与激素稳态调节</w:t>
      </w:r>
    </w:p>
    <w:tbl>
      <w:tblPr>
        <w:tblStyle w:val="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75"/>
        <w:gridCol w:w="2255"/>
      </w:tblGrid>
      <w:tr w14:paraId="3A90A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2B0EB1D6">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排名</w:t>
            </w:r>
          </w:p>
        </w:tc>
        <w:tc>
          <w:tcPr>
            <w:tcW w:w="0" w:type="auto"/>
            <w:shd w:val="clear" w:color="auto" w:fill="auto"/>
            <w:vAlign w:val="center"/>
          </w:tcPr>
          <w:p w14:paraId="66D1876C">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产品名称</w:t>
            </w:r>
          </w:p>
        </w:tc>
      </w:tr>
      <w:tr w14:paraId="2F31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5F27B74">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1</w:t>
            </w:r>
          </w:p>
        </w:tc>
        <w:tc>
          <w:tcPr>
            <w:tcW w:w="0" w:type="auto"/>
            <w:shd w:val="clear" w:color="auto" w:fill="auto"/>
            <w:vAlign w:val="center"/>
          </w:tcPr>
          <w:p w14:paraId="2B07EEF7">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自</w:t>
            </w:r>
            <w:r>
              <w:rPr>
                <w:rFonts w:hint="eastAsia" w:ascii="Times New Roman" w:hAnsi="Times New Roman" w:eastAsia="楷体"/>
                <w:sz w:val="24"/>
                <w:szCs w:val="24"/>
                <w:highlight w:val="none"/>
                <w:lang w:eastAsia="zh-CN"/>
              </w:rPr>
              <w:t>甲状腺功能计算器</w:t>
            </w:r>
          </w:p>
        </w:tc>
      </w:tr>
    </w:tbl>
    <w:p w14:paraId="7BA0BD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p>
    <w:p w14:paraId="410A4C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r>
        <w:rPr>
          <w:rFonts w:hint="eastAsia" w:ascii="Times New Roman" w:hAnsi="Times New Roman" w:eastAsia="楷体" w:cs="Times New Roman"/>
          <w:b w:val="0"/>
          <w:bCs w:val="0"/>
          <w:sz w:val="24"/>
          <w:szCs w:val="24"/>
          <w:highlight w:val="none"/>
          <w:lang w:val="en-US" w:eastAsia="zh-CN"/>
        </w:rPr>
        <w:t>7</w:t>
      </w:r>
      <w:r>
        <w:rPr>
          <w:rFonts w:hint="default" w:ascii="Times New Roman" w:hAnsi="Times New Roman" w:eastAsia="楷体" w:cs="Times New Roman"/>
          <w:b w:val="0"/>
          <w:bCs w:val="0"/>
          <w:sz w:val="24"/>
          <w:szCs w:val="24"/>
          <w:highlight w:val="none"/>
          <w:lang w:val="en-US" w:eastAsia="zh-CN"/>
        </w:rPr>
        <w:t>. 免疫平衡与抗炎调节</w:t>
      </w:r>
    </w:p>
    <w:tbl>
      <w:tblPr>
        <w:tblStyle w:val="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75"/>
        <w:gridCol w:w="4655"/>
      </w:tblGrid>
      <w:tr w14:paraId="00408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5418E2F3">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排名</w:t>
            </w:r>
          </w:p>
        </w:tc>
        <w:tc>
          <w:tcPr>
            <w:tcW w:w="0" w:type="auto"/>
            <w:shd w:val="clear" w:color="auto" w:fill="auto"/>
            <w:vAlign w:val="center"/>
          </w:tcPr>
          <w:p w14:paraId="203BDAE3">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产品名称</w:t>
            </w:r>
          </w:p>
        </w:tc>
      </w:tr>
      <w:tr w14:paraId="488A6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7A9FBD4C">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1</w:t>
            </w:r>
          </w:p>
        </w:tc>
        <w:tc>
          <w:tcPr>
            <w:tcW w:w="0" w:type="auto"/>
            <w:shd w:val="clear" w:color="auto" w:fill="auto"/>
            <w:vAlign w:val="center"/>
          </w:tcPr>
          <w:p w14:paraId="44783CCF">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自身免疫病风险预测（抗核抗体阳性人群）</w:t>
            </w:r>
          </w:p>
        </w:tc>
      </w:tr>
    </w:tbl>
    <w:p w14:paraId="0583E1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p>
    <w:p w14:paraId="62DBE5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r>
        <w:rPr>
          <w:rFonts w:hint="eastAsia" w:ascii="Times New Roman" w:hAnsi="Times New Roman" w:eastAsia="楷体" w:cs="Times New Roman"/>
          <w:b w:val="0"/>
          <w:bCs w:val="0"/>
          <w:sz w:val="24"/>
          <w:szCs w:val="24"/>
          <w:highlight w:val="none"/>
          <w:lang w:val="en-US" w:eastAsia="zh-CN"/>
        </w:rPr>
        <w:t>8</w:t>
      </w:r>
      <w:r>
        <w:rPr>
          <w:rFonts w:hint="default" w:ascii="Times New Roman" w:hAnsi="Times New Roman" w:eastAsia="楷体" w:cs="Times New Roman"/>
          <w:b w:val="0"/>
          <w:bCs w:val="0"/>
          <w:sz w:val="24"/>
          <w:szCs w:val="24"/>
          <w:highlight w:val="none"/>
          <w:lang w:val="en-US" w:eastAsia="zh-CN"/>
        </w:rPr>
        <w:t>. 炎症与免疫功能调控</w:t>
      </w:r>
    </w:p>
    <w:tbl>
      <w:tblPr>
        <w:tblStyle w:val="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75"/>
        <w:gridCol w:w="2495"/>
      </w:tblGrid>
      <w:tr w14:paraId="0DA35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3A782846">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排名</w:t>
            </w:r>
          </w:p>
        </w:tc>
        <w:tc>
          <w:tcPr>
            <w:tcW w:w="0" w:type="auto"/>
            <w:shd w:val="clear" w:color="auto" w:fill="auto"/>
            <w:vAlign w:val="center"/>
          </w:tcPr>
          <w:p w14:paraId="2E949FE6">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产品名称</w:t>
            </w:r>
          </w:p>
        </w:tc>
      </w:tr>
      <w:tr w14:paraId="55B51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22CD0575">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1</w:t>
            </w:r>
          </w:p>
        </w:tc>
        <w:tc>
          <w:tcPr>
            <w:tcW w:w="0" w:type="auto"/>
            <w:shd w:val="clear" w:color="auto" w:fill="auto"/>
            <w:vAlign w:val="center"/>
          </w:tcPr>
          <w:p w14:paraId="577F1EED">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rPr>
              <w:t>成人免疫健康状态评估</w:t>
            </w:r>
          </w:p>
        </w:tc>
      </w:tr>
    </w:tbl>
    <w:p w14:paraId="7C4DEB8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p>
    <w:p w14:paraId="732010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r>
        <w:rPr>
          <w:rFonts w:hint="eastAsia" w:ascii="Times New Roman" w:hAnsi="Times New Roman" w:eastAsia="楷体" w:cs="Times New Roman"/>
          <w:b w:val="0"/>
          <w:bCs w:val="0"/>
          <w:sz w:val="24"/>
          <w:szCs w:val="24"/>
          <w:highlight w:val="none"/>
          <w:lang w:val="en-US" w:eastAsia="zh-CN"/>
        </w:rPr>
        <w:t>9</w:t>
      </w:r>
      <w:r>
        <w:rPr>
          <w:rFonts w:hint="default" w:ascii="Times New Roman" w:hAnsi="Times New Roman" w:eastAsia="楷体" w:cs="Times New Roman"/>
          <w:b w:val="0"/>
          <w:bCs w:val="0"/>
          <w:sz w:val="24"/>
          <w:szCs w:val="24"/>
          <w:highlight w:val="none"/>
          <w:lang w:val="en-US" w:eastAsia="zh-CN"/>
        </w:rPr>
        <w:t>. 消化系统与肠道功能检测</w:t>
      </w:r>
    </w:p>
    <w:tbl>
      <w:tblPr>
        <w:tblStyle w:val="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75"/>
        <w:gridCol w:w="2495"/>
      </w:tblGrid>
      <w:tr w14:paraId="732FF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47C39251">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cs="Times New Roman"/>
                <w:sz w:val="24"/>
                <w:szCs w:val="24"/>
                <w:highlight w:val="none"/>
                <w:lang w:eastAsia="zh-CN"/>
              </w:rPr>
            </w:pPr>
            <w:r>
              <w:rPr>
                <w:rFonts w:hint="eastAsia" w:ascii="Times New Roman" w:hAnsi="Times New Roman" w:eastAsia="楷体" w:cs="Times New Roman"/>
                <w:sz w:val="24"/>
                <w:szCs w:val="24"/>
                <w:highlight w:val="none"/>
                <w:lang w:val="en-US" w:eastAsia="zh-CN"/>
              </w:rPr>
              <w:t>排序</w:t>
            </w:r>
          </w:p>
        </w:tc>
        <w:tc>
          <w:tcPr>
            <w:tcW w:w="0" w:type="auto"/>
            <w:shd w:val="clear" w:color="auto" w:fill="auto"/>
            <w:vAlign w:val="center"/>
          </w:tcPr>
          <w:p w14:paraId="56B45691">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cs="Times New Roman"/>
                <w:sz w:val="24"/>
                <w:szCs w:val="24"/>
                <w:highlight w:val="none"/>
                <w:lang w:eastAsia="zh-CN"/>
              </w:rPr>
            </w:pPr>
            <w:r>
              <w:rPr>
                <w:rFonts w:hint="eastAsia" w:ascii="Times New Roman" w:hAnsi="Times New Roman" w:eastAsia="楷体" w:cs="Times New Roman"/>
                <w:sz w:val="24"/>
                <w:szCs w:val="24"/>
                <w:highlight w:val="none"/>
                <w:lang w:val="en-US" w:eastAsia="zh-CN"/>
              </w:rPr>
              <w:t>产品名称</w:t>
            </w:r>
          </w:p>
        </w:tc>
      </w:tr>
      <w:tr w14:paraId="08D1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7D0C68F8">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cs="Times New Roman"/>
                <w:sz w:val="24"/>
                <w:szCs w:val="24"/>
                <w:highlight w:val="none"/>
                <w:lang w:eastAsia="zh-CN"/>
              </w:rPr>
            </w:pPr>
            <w:r>
              <w:rPr>
                <w:rFonts w:hint="eastAsia" w:ascii="Times New Roman" w:hAnsi="Times New Roman" w:eastAsia="楷体" w:cs="Times New Roman"/>
                <w:sz w:val="24"/>
                <w:szCs w:val="24"/>
                <w:highlight w:val="none"/>
                <w:lang w:val="en-US" w:eastAsia="zh-CN"/>
              </w:rPr>
              <w:t>1</w:t>
            </w:r>
          </w:p>
        </w:tc>
        <w:tc>
          <w:tcPr>
            <w:tcW w:w="0" w:type="auto"/>
            <w:shd w:val="clear" w:color="auto" w:fill="auto"/>
            <w:vAlign w:val="center"/>
          </w:tcPr>
          <w:p w14:paraId="1D66ED02">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cs="Times New Roman"/>
                <w:sz w:val="24"/>
                <w:szCs w:val="24"/>
                <w:highlight w:val="none"/>
                <w:lang w:eastAsia="zh-CN"/>
              </w:rPr>
            </w:pPr>
            <w:r>
              <w:rPr>
                <w:rFonts w:hint="eastAsia" w:ascii="Times New Roman" w:hAnsi="Times New Roman" w:eastAsia="楷体" w:cs="Times New Roman"/>
                <w:sz w:val="24"/>
                <w:szCs w:val="24"/>
                <w:highlight w:val="none"/>
                <w:lang w:val="en-US" w:eastAsia="zh-CN"/>
              </w:rPr>
              <w:t>脂肪肝风险评估</w:t>
            </w:r>
          </w:p>
        </w:tc>
      </w:tr>
      <w:tr w14:paraId="76331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B588AB0">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default" w:ascii="Times New Roman" w:hAnsi="Times New Roman" w:eastAsia="楷体" w:cs="Times New Roman"/>
                <w:sz w:val="24"/>
                <w:szCs w:val="24"/>
                <w:highlight w:val="none"/>
                <w:lang w:val="en-US" w:eastAsia="zh-CN"/>
              </w:rPr>
            </w:pPr>
            <w:r>
              <w:rPr>
                <w:rFonts w:hint="eastAsia" w:ascii="Times New Roman" w:hAnsi="Times New Roman" w:eastAsia="楷体" w:cs="Times New Roman"/>
                <w:sz w:val="24"/>
                <w:szCs w:val="24"/>
                <w:highlight w:val="none"/>
                <w:lang w:val="en-US" w:eastAsia="zh-CN"/>
              </w:rPr>
              <w:t>2</w:t>
            </w:r>
          </w:p>
        </w:tc>
        <w:tc>
          <w:tcPr>
            <w:tcW w:w="0" w:type="auto"/>
            <w:shd w:val="clear" w:color="auto" w:fill="auto"/>
            <w:vAlign w:val="center"/>
          </w:tcPr>
          <w:p w14:paraId="6CB28C96">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cs="Times New Roman"/>
                <w:sz w:val="24"/>
                <w:szCs w:val="24"/>
                <w:highlight w:val="none"/>
                <w:lang w:eastAsia="zh-CN"/>
              </w:rPr>
            </w:pPr>
            <w:r>
              <w:rPr>
                <w:rFonts w:hint="eastAsia" w:ascii="Times New Roman" w:hAnsi="Times New Roman" w:eastAsia="楷体" w:cs="Times New Roman"/>
                <w:sz w:val="24"/>
                <w:szCs w:val="24"/>
                <w:highlight w:val="none"/>
                <w:lang w:val="en-US" w:eastAsia="zh-CN"/>
              </w:rPr>
              <w:t>肝纤维化风险评估工具</w:t>
            </w:r>
          </w:p>
        </w:tc>
      </w:tr>
    </w:tbl>
    <w:p w14:paraId="4F9789B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p>
    <w:p w14:paraId="3077AF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r>
        <w:rPr>
          <w:rFonts w:hint="eastAsia" w:ascii="Times New Roman" w:hAnsi="Times New Roman" w:eastAsia="楷体" w:cs="Times New Roman"/>
          <w:b w:val="0"/>
          <w:bCs w:val="0"/>
          <w:sz w:val="24"/>
          <w:szCs w:val="24"/>
          <w:highlight w:val="none"/>
          <w:lang w:val="en-US" w:eastAsia="zh-CN"/>
        </w:rPr>
        <w:t>10</w:t>
      </w:r>
      <w:r>
        <w:rPr>
          <w:rFonts w:hint="default" w:ascii="Times New Roman" w:hAnsi="Times New Roman" w:eastAsia="楷体" w:cs="Times New Roman"/>
          <w:b w:val="0"/>
          <w:bCs w:val="0"/>
          <w:sz w:val="24"/>
          <w:szCs w:val="24"/>
          <w:highlight w:val="none"/>
          <w:lang w:val="en-US" w:eastAsia="zh-CN"/>
        </w:rPr>
        <w:t>. 情绪与心理状态风险评估</w:t>
      </w:r>
    </w:p>
    <w:tbl>
      <w:tblPr>
        <w:tblStyle w:val="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75"/>
        <w:gridCol w:w="2735"/>
      </w:tblGrid>
      <w:tr w14:paraId="18991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1A5A0EBD">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eastAsia="zh-CN"/>
              </w:rPr>
            </w:pPr>
            <w:r>
              <w:rPr>
                <w:rFonts w:hint="eastAsia" w:ascii="Times New Roman" w:hAnsi="Times New Roman" w:eastAsia="楷体"/>
                <w:sz w:val="24"/>
                <w:szCs w:val="24"/>
                <w:highlight w:val="none"/>
                <w:lang w:val="en-US" w:eastAsia="zh-CN"/>
              </w:rPr>
              <w:t>排名</w:t>
            </w:r>
          </w:p>
        </w:tc>
        <w:tc>
          <w:tcPr>
            <w:tcW w:w="0" w:type="auto"/>
            <w:shd w:val="clear" w:color="auto" w:fill="auto"/>
            <w:vAlign w:val="center"/>
          </w:tcPr>
          <w:p w14:paraId="4D1E58E1">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eastAsia="zh-CN"/>
              </w:rPr>
            </w:pPr>
            <w:r>
              <w:rPr>
                <w:rFonts w:hint="eastAsia" w:ascii="Times New Roman" w:hAnsi="Times New Roman" w:eastAsia="楷体"/>
                <w:sz w:val="24"/>
                <w:szCs w:val="24"/>
                <w:highlight w:val="none"/>
                <w:lang w:val="en-US" w:eastAsia="zh-CN"/>
              </w:rPr>
              <w:t>产品名称</w:t>
            </w:r>
          </w:p>
        </w:tc>
      </w:tr>
      <w:tr w14:paraId="76D6A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7372584F">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default"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1</w:t>
            </w:r>
          </w:p>
        </w:tc>
        <w:tc>
          <w:tcPr>
            <w:tcW w:w="0" w:type="auto"/>
            <w:shd w:val="clear" w:color="auto" w:fill="auto"/>
            <w:vAlign w:val="center"/>
          </w:tcPr>
          <w:p w14:paraId="3D0BBFC3">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eastAsia="zh-CN"/>
              </w:rPr>
            </w:pPr>
            <w:r>
              <w:rPr>
                <w:rFonts w:hint="eastAsia" w:ascii="Times New Roman" w:hAnsi="Times New Roman" w:eastAsia="楷体"/>
                <w:sz w:val="24"/>
                <w:szCs w:val="24"/>
                <w:highlight w:val="none"/>
                <w:lang w:val="en-US" w:eastAsia="zh-CN"/>
              </w:rPr>
              <w:t>冲动风险评估与干预系统</w:t>
            </w:r>
          </w:p>
        </w:tc>
      </w:tr>
    </w:tbl>
    <w:p w14:paraId="6ACFD5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p>
    <w:p w14:paraId="10262D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r>
        <w:rPr>
          <w:rFonts w:hint="eastAsia" w:ascii="Times New Roman" w:hAnsi="Times New Roman" w:eastAsia="楷体" w:cs="Times New Roman"/>
          <w:b w:val="0"/>
          <w:bCs w:val="0"/>
          <w:sz w:val="24"/>
          <w:szCs w:val="24"/>
          <w:highlight w:val="none"/>
          <w:lang w:val="en-US" w:eastAsia="zh-CN"/>
        </w:rPr>
        <w:t>11</w:t>
      </w:r>
      <w:r>
        <w:rPr>
          <w:rFonts w:hint="default" w:ascii="Times New Roman" w:hAnsi="Times New Roman" w:eastAsia="楷体" w:cs="Times New Roman"/>
          <w:b w:val="0"/>
          <w:bCs w:val="0"/>
          <w:sz w:val="24"/>
          <w:szCs w:val="24"/>
          <w:highlight w:val="none"/>
          <w:lang w:val="en-US" w:eastAsia="zh-CN"/>
        </w:rPr>
        <w:t>. 高尿酸与痛风风险评估</w:t>
      </w:r>
    </w:p>
    <w:tbl>
      <w:tblPr>
        <w:tblStyle w:val="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75"/>
        <w:gridCol w:w="2015"/>
      </w:tblGrid>
      <w:tr w14:paraId="417C4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blCellSpacing w:w="15" w:type="dxa"/>
          <w:jc w:val="center"/>
        </w:trPr>
        <w:tc>
          <w:tcPr>
            <w:tcW w:w="0" w:type="auto"/>
            <w:shd w:val="clear" w:color="auto" w:fill="auto"/>
            <w:vAlign w:val="center"/>
          </w:tcPr>
          <w:p w14:paraId="2318B288">
            <w:pPr>
              <w:keepNext w:val="0"/>
              <w:keepLines w:val="0"/>
              <w:pageBreakBefore w:val="0"/>
              <w:widowControl w:val="0"/>
              <w:kinsoku/>
              <w:wordWrap/>
              <w:overflowPunct/>
              <w:topLinePunct w:val="0"/>
              <w:autoSpaceDE/>
              <w:autoSpaceDN/>
              <w:bidi w:val="0"/>
              <w:adjustRightInd/>
              <w:snapToGrid/>
              <w:spacing w:line="288" w:lineRule="auto"/>
              <w:ind w:firstLine="0" w:firstLineChars="0"/>
              <w:jc w:val="center"/>
              <w:textAlignment w:val="auto"/>
              <w:rPr>
                <w:rFonts w:hint="eastAsia" w:ascii="Times New Roman" w:hAnsi="Times New Roman" w:eastAsia="楷体"/>
                <w:sz w:val="24"/>
                <w:szCs w:val="24"/>
                <w:highlight w:val="none"/>
                <w:lang w:eastAsia="zh-CN"/>
              </w:rPr>
            </w:pPr>
            <w:r>
              <w:rPr>
                <w:rFonts w:hint="eastAsia" w:ascii="Times New Roman" w:hAnsi="Times New Roman" w:eastAsia="楷体"/>
                <w:sz w:val="24"/>
                <w:szCs w:val="24"/>
                <w:highlight w:val="none"/>
                <w:lang w:val="en-US" w:eastAsia="zh-CN"/>
              </w:rPr>
              <w:t>排名</w:t>
            </w:r>
          </w:p>
        </w:tc>
        <w:tc>
          <w:tcPr>
            <w:tcW w:w="0" w:type="auto"/>
            <w:shd w:val="clear" w:color="auto" w:fill="auto"/>
            <w:vAlign w:val="center"/>
          </w:tcPr>
          <w:p w14:paraId="5D117D96">
            <w:pPr>
              <w:keepNext w:val="0"/>
              <w:keepLines w:val="0"/>
              <w:pageBreakBefore w:val="0"/>
              <w:widowControl w:val="0"/>
              <w:kinsoku/>
              <w:wordWrap/>
              <w:overflowPunct/>
              <w:topLinePunct w:val="0"/>
              <w:autoSpaceDE/>
              <w:autoSpaceDN/>
              <w:bidi w:val="0"/>
              <w:adjustRightInd/>
              <w:snapToGrid/>
              <w:spacing w:line="288" w:lineRule="auto"/>
              <w:ind w:firstLine="0" w:firstLineChars="0"/>
              <w:jc w:val="center"/>
              <w:textAlignment w:val="auto"/>
              <w:rPr>
                <w:rFonts w:hint="eastAsia" w:ascii="Times New Roman" w:hAnsi="Times New Roman" w:eastAsia="楷体"/>
                <w:sz w:val="24"/>
                <w:szCs w:val="24"/>
                <w:highlight w:val="none"/>
                <w:lang w:eastAsia="zh-CN"/>
              </w:rPr>
            </w:pPr>
            <w:r>
              <w:rPr>
                <w:rFonts w:hint="eastAsia" w:ascii="Times New Roman" w:hAnsi="Times New Roman" w:eastAsia="楷体"/>
                <w:sz w:val="24"/>
                <w:szCs w:val="24"/>
                <w:highlight w:val="none"/>
                <w:lang w:val="en-US" w:eastAsia="zh-CN"/>
              </w:rPr>
              <w:t>产品名称</w:t>
            </w:r>
          </w:p>
        </w:tc>
      </w:tr>
      <w:tr w14:paraId="39801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7991E837">
            <w:pPr>
              <w:keepNext w:val="0"/>
              <w:keepLines w:val="0"/>
              <w:pageBreakBefore w:val="0"/>
              <w:widowControl w:val="0"/>
              <w:kinsoku/>
              <w:wordWrap/>
              <w:overflowPunct/>
              <w:topLinePunct w:val="0"/>
              <w:autoSpaceDE/>
              <w:autoSpaceDN/>
              <w:bidi w:val="0"/>
              <w:adjustRightInd/>
              <w:snapToGrid/>
              <w:spacing w:line="288" w:lineRule="auto"/>
              <w:ind w:firstLine="0" w:firstLineChars="0"/>
              <w:jc w:val="center"/>
              <w:textAlignment w:val="auto"/>
              <w:rPr>
                <w:rFonts w:hint="eastAsia" w:ascii="Times New Roman" w:hAnsi="Times New Roman" w:eastAsia="楷体"/>
                <w:sz w:val="24"/>
                <w:szCs w:val="24"/>
                <w:highlight w:val="none"/>
                <w:lang w:eastAsia="zh-CN"/>
              </w:rPr>
            </w:pPr>
            <w:r>
              <w:rPr>
                <w:rFonts w:hint="eastAsia" w:ascii="Times New Roman" w:hAnsi="Times New Roman" w:eastAsia="楷体"/>
                <w:sz w:val="24"/>
                <w:szCs w:val="24"/>
                <w:highlight w:val="none"/>
                <w:lang w:val="en-US" w:eastAsia="zh-CN"/>
              </w:rPr>
              <w:t>1</w:t>
            </w:r>
          </w:p>
        </w:tc>
        <w:tc>
          <w:tcPr>
            <w:tcW w:w="0" w:type="auto"/>
            <w:shd w:val="clear" w:color="auto" w:fill="auto"/>
            <w:vAlign w:val="center"/>
          </w:tcPr>
          <w:p w14:paraId="7E1E1AA6">
            <w:pPr>
              <w:keepNext w:val="0"/>
              <w:keepLines w:val="0"/>
              <w:pageBreakBefore w:val="0"/>
              <w:widowControl w:val="0"/>
              <w:kinsoku/>
              <w:wordWrap/>
              <w:overflowPunct/>
              <w:topLinePunct w:val="0"/>
              <w:autoSpaceDE/>
              <w:autoSpaceDN/>
              <w:bidi w:val="0"/>
              <w:adjustRightInd/>
              <w:snapToGrid/>
              <w:spacing w:line="288" w:lineRule="auto"/>
              <w:ind w:firstLine="0" w:firstLineChars="0"/>
              <w:jc w:val="center"/>
              <w:textAlignment w:val="auto"/>
              <w:rPr>
                <w:rFonts w:hint="eastAsia" w:ascii="Times New Roman" w:hAnsi="Times New Roman" w:eastAsia="楷体"/>
                <w:sz w:val="24"/>
                <w:szCs w:val="24"/>
                <w:highlight w:val="none"/>
                <w:lang w:eastAsia="zh-CN"/>
              </w:rPr>
            </w:pPr>
            <w:r>
              <w:rPr>
                <w:rFonts w:hint="eastAsia" w:ascii="Times New Roman" w:hAnsi="Times New Roman" w:eastAsia="楷体"/>
                <w:sz w:val="24"/>
                <w:szCs w:val="24"/>
                <w:highlight w:val="none"/>
                <w:lang w:val="en-US" w:eastAsia="zh-CN"/>
              </w:rPr>
              <w:t>成人痛风风险评估</w:t>
            </w:r>
          </w:p>
        </w:tc>
      </w:tr>
      <w:tr w14:paraId="3DE9E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7CC8942">
            <w:pPr>
              <w:keepNext w:val="0"/>
              <w:keepLines w:val="0"/>
              <w:pageBreakBefore w:val="0"/>
              <w:widowControl w:val="0"/>
              <w:kinsoku/>
              <w:wordWrap/>
              <w:overflowPunct/>
              <w:topLinePunct w:val="0"/>
              <w:autoSpaceDE/>
              <w:autoSpaceDN/>
              <w:bidi w:val="0"/>
              <w:adjustRightInd/>
              <w:snapToGrid/>
              <w:spacing w:line="288" w:lineRule="auto"/>
              <w:ind w:firstLine="0" w:firstLineChars="0"/>
              <w:jc w:val="center"/>
              <w:textAlignment w:val="auto"/>
              <w:rPr>
                <w:rFonts w:hint="eastAsia" w:ascii="Times New Roman" w:hAnsi="Times New Roman" w:eastAsia="楷体"/>
                <w:sz w:val="24"/>
                <w:szCs w:val="24"/>
                <w:highlight w:val="none"/>
                <w:lang w:eastAsia="zh-CN"/>
              </w:rPr>
            </w:pPr>
            <w:r>
              <w:rPr>
                <w:rFonts w:hint="eastAsia" w:ascii="Times New Roman" w:hAnsi="Times New Roman" w:eastAsia="楷体"/>
                <w:sz w:val="24"/>
                <w:szCs w:val="24"/>
                <w:highlight w:val="none"/>
                <w:lang w:val="en-US" w:eastAsia="zh-CN"/>
              </w:rPr>
              <w:t>2</w:t>
            </w:r>
          </w:p>
        </w:tc>
        <w:tc>
          <w:tcPr>
            <w:tcW w:w="0" w:type="auto"/>
            <w:shd w:val="clear" w:color="auto" w:fill="auto"/>
            <w:vAlign w:val="center"/>
          </w:tcPr>
          <w:p w14:paraId="45A4C245">
            <w:pPr>
              <w:keepNext w:val="0"/>
              <w:keepLines w:val="0"/>
              <w:pageBreakBefore w:val="0"/>
              <w:widowControl w:val="0"/>
              <w:kinsoku/>
              <w:wordWrap/>
              <w:overflowPunct/>
              <w:topLinePunct w:val="0"/>
              <w:autoSpaceDE/>
              <w:autoSpaceDN/>
              <w:bidi w:val="0"/>
              <w:adjustRightInd/>
              <w:snapToGrid/>
              <w:spacing w:line="288" w:lineRule="auto"/>
              <w:ind w:firstLine="0" w:firstLineChars="0"/>
              <w:jc w:val="center"/>
              <w:textAlignment w:val="auto"/>
              <w:rPr>
                <w:rFonts w:hint="eastAsia" w:ascii="Times New Roman" w:hAnsi="Times New Roman" w:eastAsia="楷体"/>
                <w:sz w:val="24"/>
                <w:szCs w:val="24"/>
                <w:highlight w:val="none"/>
                <w:lang w:eastAsia="zh-CN"/>
              </w:rPr>
            </w:pPr>
            <w:r>
              <w:rPr>
                <w:rFonts w:hint="eastAsia" w:ascii="Times New Roman" w:hAnsi="Times New Roman" w:eastAsia="楷体"/>
                <w:sz w:val="24"/>
                <w:szCs w:val="24"/>
                <w:highlight w:val="none"/>
                <w:lang w:val="en-US" w:eastAsia="zh-CN"/>
              </w:rPr>
              <w:t>急性痛风风险评估</w:t>
            </w:r>
          </w:p>
        </w:tc>
      </w:tr>
    </w:tbl>
    <w:p w14:paraId="61FB75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p>
    <w:p w14:paraId="482881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r>
        <w:rPr>
          <w:rFonts w:hint="eastAsia" w:ascii="Times New Roman" w:hAnsi="Times New Roman" w:eastAsia="楷体" w:cs="Times New Roman"/>
          <w:b w:val="0"/>
          <w:bCs w:val="0"/>
          <w:sz w:val="24"/>
          <w:szCs w:val="24"/>
          <w:highlight w:val="none"/>
          <w:lang w:val="en-US" w:eastAsia="zh-CN"/>
        </w:rPr>
        <w:t>12</w:t>
      </w:r>
      <w:r>
        <w:rPr>
          <w:rFonts w:hint="default" w:ascii="Times New Roman" w:hAnsi="Times New Roman" w:eastAsia="楷体" w:cs="Times New Roman"/>
          <w:b w:val="0"/>
          <w:bCs w:val="0"/>
          <w:sz w:val="24"/>
          <w:szCs w:val="24"/>
          <w:highlight w:val="none"/>
          <w:lang w:val="en-US" w:eastAsia="zh-CN"/>
        </w:rPr>
        <w:t>. 女性周期与内分泌监测</w:t>
      </w:r>
    </w:p>
    <w:tbl>
      <w:tblPr>
        <w:tblStyle w:val="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75"/>
        <w:gridCol w:w="2735"/>
      </w:tblGrid>
      <w:tr w14:paraId="2185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696CD37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排名</w:t>
            </w:r>
          </w:p>
        </w:tc>
        <w:tc>
          <w:tcPr>
            <w:tcW w:w="0" w:type="auto"/>
            <w:shd w:val="clear" w:color="auto" w:fill="auto"/>
            <w:vAlign w:val="center"/>
          </w:tcPr>
          <w:p w14:paraId="4039B29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产品名称</w:t>
            </w:r>
          </w:p>
        </w:tc>
      </w:tr>
      <w:tr w14:paraId="3F102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20855DF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1</w:t>
            </w:r>
          </w:p>
        </w:tc>
        <w:tc>
          <w:tcPr>
            <w:tcW w:w="0" w:type="auto"/>
            <w:shd w:val="clear" w:color="auto" w:fill="auto"/>
            <w:vAlign w:val="center"/>
          </w:tcPr>
          <w:p w14:paraId="66E84C9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妊娠糖尿病风险预测工具</w:t>
            </w:r>
          </w:p>
        </w:tc>
      </w:tr>
    </w:tbl>
    <w:p w14:paraId="1E4815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p>
    <w:p w14:paraId="3EC8E0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r>
        <w:rPr>
          <w:rFonts w:hint="eastAsia" w:ascii="Times New Roman" w:hAnsi="Times New Roman" w:eastAsia="楷体" w:cs="Times New Roman"/>
          <w:b w:val="0"/>
          <w:bCs w:val="0"/>
          <w:sz w:val="24"/>
          <w:szCs w:val="24"/>
          <w:highlight w:val="none"/>
          <w:lang w:val="en-US" w:eastAsia="zh-CN"/>
        </w:rPr>
        <w:t>13</w:t>
      </w:r>
      <w:r>
        <w:rPr>
          <w:rFonts w:hint="default" w:ascii="Times New Roman" w:hAnsi="Times New Roman" w:eastAsia="楷体" w:cs="Times New Roman"/>
          <w:b w:val="0"/>
          <w:bCs w:val="0"/>
          <w:sz w:val="24"/>
          <w:szCs w:val="24"/>
          <w:highlight w:val="none"/>
          <w:lang w:val="en-US" w:eastAsia="zh-CN"/>
        </w:rPr>
        <w:t>. 睡眠与疲劳状态监测</w:t>
      </w:r>
    </w:p>
    <w:tbl>
      <w:tblPr>
        <w:tblStyle w:val="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55"/>
        <w:gridCol w:w="3255"/>
      </w:tblGrid>
      <w:tr w14:paraId="1FBC1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510" w:type="dxa"/>
            <w:shd w:val="clear" w:color="auto" w:fill="auto"/>
            <w:vAlign w:val="center"/>
          </w:tcPr>
          <w:p w14:paraId="037D0B76">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rPr>
            </w:pPr>
            <w:r>
              <w:rPr>
                <w:rFonts w:hint="eastAsia" w:ascii="Times New Roman" w:hAnsi="Times New Roman" w:eastAsia="楷体"/>
                <w:sz w:val="24"/>
                <w:szCs w:val="24"/>
                <w:highlight w:val="none"/>
                <w:lang w:val="en-US" w:eastAsia="zh-CN"/>
              </w:rPr>
              <w:t>排名</w:t>
            </w:r>
          </w:p>
        </w:tc>
        <w:tc>
          <w:tcPr>
            <w:tcW w:w="3210" w:type="dxa"/>
            <w:shd w:val="clear" w:color="auto" w:fill="auto"/>
            <w:vAlign w:val="center"/>
          </w:tcPr>
          <w:p w14:paraId="0ECC232F">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rPr>
            </w:pPr>
            <w:r>
              <w:rPr>
                <w:rFonts w:hint="eastAsia" w:ascii="Times New Roman" w:hAnsi="Times New Roman" w:eastAsia="楷体"/>
                <w:sz w:val="24"/>
                <w:szCs w:val="24"/>
                <w:highlight w:val="none"/>
                <w:lang w:val="en-US" w:eastAsia="zh-CN"/>
              </w:rPr>
              <w:t>产品名称</w:t>
            </w:r>
          </w:p>
        </w:tc>
      </w:tr>
      <w:tr w14:paraId="053CF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510" w:type="dxa"/>
            <w:shd w:val="clear" w:color="auto" w:fill="auto"/>
            <w:vAlign w:val="center"/>
          </w:tcPr>
          <w:p w14:paraId="362EEB9C">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1</w:t>
            </w:r>
          </w:p>
        </w:tc>
        <w:tc>
          <w:tcPr>
            <w:tcW w:w="3210" w:type="dxa"/>
            <w:shd w:val="clear" w:color="auto" w:fill="auto"/>
            <w:vAlign w:val="center"/>
          </w:tcPr>
          <w:p w14:paraId="1B02AF30">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rPr>
            </w:pPr>
            <w:r>
              <w:rPr>
                <w:rFonts w:hint="eastAsia" w:ascii="Times New Roman" w:hAnsi="Times New Roman" w:eastAsia="楷体"/>
                <w:sz w:val="24"/>
                <w:szCs w:val="24"/>
                <w:highlight w:val="none"/>
                <w:lang w:val="en-US" w:eastAsia="zh-CN"/>
              </w:rPr>
              <w:t>失眠严重程度评估</w:t>
            </w:r>
          </w:p>
        </w:tc>
      </w:tr>
      <w:tr w14:paraId="25C53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510" w:type="dxa"/>
            <w:shd w:val="clear" w:color="auto" w:fill="auto"/>
            <w:vAlign w:val="center"/>
          </w:tcPr>
          <w:p w14:paraId="227B943E">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default"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2</w:t>
            </w:r>
          </w:p>
        </w:tc>
        <w:tc>
          <w:tcPr>
            <w:tcW w:w="3210" w:type="dxa"/>
            <w:shd w:val="clear" w:color="auto" w:fill="auto"/>
            <w:vAlign w:val="center"/>
          </w:tcPr>
          <w:p w14:paraId="72BDC527">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rPr>
            </w:pPr>
            <w:r>
              <w:rPr>
                <w:rFonts w:hint="eastAsia" w:ascii="Times New Roman" w:hAnsi="Times New Roman" w:eastAsia="楷体"/>
                <w:sz w:val="24"/>
                <w:szCs w:val="24"/>
                <w:highlight w:val="none"/>
                <w:lang w:val="en-US" w:eastAsia="zh-CN"/>
              </w:rPr>
              <w:t>疲劳程度评估</w:t>
            </w:r>
          </w:p>
        </w:tc>
      </w:tr>
      <w:tr w14:paraId="26284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jc w:val="center"/>
        </w:trPr>
        <w:tc>
          <w:tcPr>
            <w:tcW w:w="510" w:type="dxa"/>
            <w:shd w:val="clear" w:color="auto" w:fill="auto"/>
            <w:vAlign w:val="center"/>
          </w:tcPr>
          <w:p w14:paraId="0EF2F55D">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default"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3</w:t>
            </w:r>
          </w:p>
        </w:tc>
        <w:tc>
          <w:tcPr>
            <w:tcW w:w="3210" w:type="dxa"/>
            <w:shd w:val="clear" w:color="auto" w:fill="auto"/>
            <w:vAlign w:val="center"/>
          </w:tcPr>
          <w:p w14:paraId="24FEA6B1">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rPr>
            </w:pPr>
            <w:r>
              <w:rPr>
                <w:rFonts w:hint="eastAsia" w:ascii="Times New Roman" w:hAnsi="Times New Roman" w:eastAsia="楷体"/>
                <w:sz w:val="24"/>
                <w:szCs w:val="24"/>
                <w:highlight w:val="none"/>
                <w:lang w:val="en-US" w:eastAsia="zh-CN"/>
              </w:rPr>
              <w:t>亚健康状态评估（25项）</w:t>
            </w:r>
          </w:p>
        </w:tc>
      </w:tr>
    </w:tbl>
    <w:p w14:paraId="75761A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p>
    <w:p w14:paraId="135A43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r>
        <w:rPr>
          <w:rFonts w:hint="eastAsia" w:ascii="Times New Roman" w:hAnsi="Times New Roman" w:eastAsia="楷体" w:cs="Times New Roman"/>
          <w:b w:val="0"/>
          <w:bCs w:val="0"/>
          <w:sz w:val="24"/>
          <w:szCs w:val="24"/>
          <w:highlight w:val="none"/>
          <w:lang w:val="en-US" w:eastAsia="zh-CN"/>
        </w:rPr>
        <w:t>14</w:t>
      </w:r>
      <w:r>
        <w:rPr>
          <w:rFonts w:hint="default" w:ascii="Times New Roman" w:hAnsi="Times New Roman" w:eastAsia="楷体" w:cs="Times New Roman"/>
          <w:b w:val="0"/>
          <w:bCs w:val="0"/>
          <w:sz w:val="24"/>
          <w:szCs w:val="24"/>
          <w:highlight w:val="none"/>
          <w:lang w:val="en-US" w:eastAsia="zh-CN"/>
        </w:rPr>
        <w:t>. 特殊人群营养支持（孕期、儿童、老年）</w:t>
      </w:r>
    </w:p>
    <w:tbl>
      <w:tblPr>
        <w:tblStyle w:val="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75"/>
        <w:gridCol w:w="2015"/>
      </w:tblGrid>
      <w:tr w14:paraId="2D6A6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5D7C1D6F">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rPr>
            </w:pPr>
            <w:r>
              <w:rPr>
                <w:rFonts w:hint="eastAsia" w:ascii="Times New Roman" w:hAnsi="Times New Roman" w:eastAsia="楷体"/>
                <w:sz w:val="24"/>
                <w:szCs w:val="24"/>
                <w:highlight w:val="none"/>
                <w:lang w:val="en-US" w:eastAsia="zh-CN"/>
              </w:rPr>
              <w:t>排名</w:t>
            </w:r>
          </w:p>
        </w:tc>
        <w:tc>
          <w:tcPr>
            <w:tcW w:w="0" w:type="auto"/>
            <w:shd w:val="clear" w:color="auto" w:fill="auto"/>
            <w:vAlign w:val="center"/>
          </w:tcPr>
          <w:p w14:paraId="6A2A06C2">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rPr>
            </w:pPr>
            <w:r>
              <w:rPr>
                <w:rFonts w:hint="eastAsia" w:ascii="Times New Roman" w:hAnsi="Times New Roman" w:eastAsia="楷体"/>
                <w:sz w:val="24"/>
                <w:szCs w:val="24"/>
                <w:highlight w:val="none"/>
                <w:lang w:val="en-US" w:eastAsia="zh-CN"/>
              </w:rPr>
              <w:t>产品名称</w:t>
            </w:r>
          </w:p>
        </w:tc>
      </w:tr>
      <w:tr w14:paraId="793D2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99524E9">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1</w:t>
            </w:r>
          </w:p>
        </w:tc>
        <w:tc>
          <w:tcPr>
            <w:tcW w:w="0" w:type="auto"/>
            <w:shd w:val="clear" w:color="auto" w:fill="auto"/>
            <w:vAlign w:val="center"/>
          </w:tcPr>
          <w:p w14:paraId="43372C2D">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rPr>
            </w:pPr>
            <w:r>
              <w:rPr>
                <w:rFonts w:hint="eastAsia" w:ascii="Times New Roman" w:hAnsi="Times New Roman" w:eastAsia="楷体"/>
                <w:sz w:val="24"/>
                <w:szCs w:val="24"/>
                <w:highlight w:val="none"/>
              </w:rPr>
              <w:t>儿童营养风险评估</w:t>
            </w:r>
          </w:p>
        </w:tc>
      </w:tr>
    </w:tbl>
    <w:p w14:paraId="6019F9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楷体" w:cs="Times New Roman"/>
          <w:b w:val="0"/>
          <w:bCs w:val="0"/>
          <w:sz w:val="24"/>
          <w:szCs w:val="24"/>
          <w:highlight w:val="none"/>
          <w:lang w:val="en-US" w:eastAsia="zh-CN"/>
        </w:rPr>
      </w:pPr>
    </w:p>
    <w:p w14:paraId="4B993685">
      <w:pPr>
        <w:keepNext w:val="0"/>
        <w:keepLines w:val="0"/>
        <w:pageBreakBefore w:val="0"/>
        <w:widowControl w:val="0"/>
        <w:kinsoku/>
        <w:wordWrap/>
        <w:overflowPunct/>
        <w:topLinePunct w:val="0"/>
        <w:autoSpaceDE/>
        <w:autoSpaceDN/>
        <w:bidi w:val="0"/>
        <w:adjustRightInd/>
        <w:snapToGrid/>
        <w:spacing w:line="288" w:lineRule="auto"/>
        <w:ind w:firstLine="480" w:firstLineChars="200"/>
        <w:textAlignment w:val="auto"/>
        <w:rPr>
          <w:rFonts w:hint="eastAsia" w:ascii="Times New Roman" w:hAnsi="Times New Roman" w:eastAsia="楷体"/>
          <w:sz w:val="24"/>
          <w:szCs w:val="24"/>
          <w:highlight w:val="none"/>
        </w:rPr>
      </w:pPr>
      <w:r>
        <w:rPr>
          <w:rFonts w:hint="eastAsia" w:ascii="Times New Roman" w:hAnsi="Times New Roman" w:eastAsia="楷体" w:cs="Times New Roman"/>
          <w:b w:val="0"/>
          <w:bCs w:val="0"/>
          <w:sz w:val="24"/>
          <w:szCs w:val="24"/>
          <w:highlight w:val="none"/>
          <w:lang w:val="en-US" w:eastAsia="zh-CN"/>
        </w:rPr>
        <w:t>15</w:t>
      </w:r>
      <w:r>
        <w:rPr>
          <w:rFonts w:hint="default" w:ascii="Times New Roman" w:hAnsi="Times New Roman" w:eastAsia="楷体" w:cs="Times New Roman"/>
          <w:b w:val="0"/>
          <w:bCs w:val="0"/>
          <w:sz w:val="24"/>
          <w:szCs w:val="24"/>
          <w:highlight w:val="none"/>
          <w:lang w:val="en-US" w:eastAsia="zh-CN"/>
        </w:rPr>
        <w:t>. 儿童与青少年成长发育</w:t>
      </w:r>
    </w:p>
    <w:tbl>
      <w:tblPr>
        <w:tblStyle w:val="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575"/>
        <w:gridCol w:w="4655"/>
      </w:tblGrid>
      <w:tr w14:paraId="33DBE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09297A2B">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排序</w:t>
            </w:r>
          </w:p>
        </w:tc>
        <w:tc>
          <w:tcPr>
            <w:tcW w:w="0" w:type="auto"/>
            <w:shd w:val="clear" w:color="auto" w:fill="auto"/>
            <w:vAlign w:val="center"/>
          </w:tcPr>
          <w:p w14:paraId="4C738302">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产品名称</w:t>
            </w:r>
          </w:p>
        </w:tc>
      </w:tr>
      <w:tr w14:paraId="6CB1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45A6C43">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1</w:t>
            </w:r>
          </w:p>
        </w:tc>
        <w:tc>
          <w:tcPr>
            <w:tcW w:w="0" w:type="auto"/>
            <w:shd w:val="clear" w:color="auto" w:fill="auto"/>
            <w:vAlign w:val="center"/>
          </w:tcPr>
          <w:p w14:paraId="1C2A3EC9">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highlight w:val="none"/>
                <w:lang w:val="en-US" w:eastAsia="zh-CN"/>
              </w:rPr>
            </w:pPr>
            <w:r>
              <w:rPr>
                <w:rFonts w:hint="eastAsia" w:ascii="Times New Roman" w:hAnsi="Times New Roman" w:eastAsia="楷体"/>
                <w:sz w:val="24"/>
                <w:szCs w:val="24"/>
                <w:highlight w:val="none"/>
                <w:lang w:val="en-US" w:eastAsia="zh-CN"/>
              </w:rPr>
              <w:t>儿童肥胖评估</w:t>
            </w:r>
          </w:p>
        </w:tc>
      </w:tr>
      <w:tr w14:paraId="50450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6571222">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default" w:ascii="Times New Roman" w:hAnsi="Times New Roman" w:eastAsia="楷体"/>
                <w:sz w:val="24"/>
                <w:szCs w:val="24"/>
                <w:lang w:val="en-US" w:eastAsia="zh-CN"/>
              </w:rPr>
            </w:pPr>
            <w:r>
              <w:rPr>
                <w:rFonts w:hint="eastAsia" w:ascii="Times New Roman" w:hAnsi="Times New Roman" w:eastAsia="楷体"/>
                <w:sz w:val="24"/>
                <w:szCs w:val="24"/>
                <w:lang w:val="en-US" w:eastAsia="zh-CN"/>
              </w:rPr>
              <w:t>2</w:t>
            </w:r>
          </w:p>
        </w:tc>
        <w:tc>
          <w:tcPr>
            <w:tcW w:w="0" w:type="auto"/>
            <w:shd w:val="clear" w:color="auto" w:fill="auto"/>
            <w:vAlign w:val="center"/>
          </w:tcPr>
          <w:p w14:paraId="469188CD">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lang w:val="en-US" w:eastAsia="zh-CN"/>
              </w:rPr>
            </w:pPr>
            <w:r>
              <w:rPr>
                <w:rFonts w:hint="eastAsia" w:ascii="Times New Roman" w:hAnsi="Times New Roman" w:eastAsia="楷体"/>
                <w:sz w:val="24"/>
                <w:szCs w:val="24"/>
                <w:lang w:val="en-US" w:eastAsia="zh-CN"/>
              </w:rPr>
              <w:t>儿童多动症风险评估与干预系统</w:t>
            </w:r>
          </w:p>
        </w:tc>
      </w:tr>
      <w:tr w14:paraId="5D2C6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A1FF0E8">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default" w:ascii="Times New Roman" w:hAnsi="Times New Roman" w:eastAsia="楷体"/>
                <w:sz w:val="24"/>
                <w:szCs w:val="24"/>
                <w:lang w:val="en-US" w:eastAsia="zh-CN"/>
              </w:rPr>
            </w:pPr>
            <w:r>
              <w:rPr>
                <w:rFonts w:hint="eastAsia" w:ascii="Times New Roman" w:hAnsi="Times New Roman" w:eastAsia="楷体"/>
                <w:sz w:val="24"/>
                <w:szCs w:val="24"/>
                <w:lang w:val="en-US" w:eastAsia="zh-CN"/>
              </w:rPr>
              <w:t>3</w:t>
            </w:r>
          </w:p>
        </w:tc>
        <w:tc>
          <w:tcPr>
            <w:tcW w:w="0" w:type="auto"/>
            <w:shd w:val="clear" w:color="auto" w:fill="auto"/>
            <w:vAlign w:val="center"/>
          </w:tcPr>
          <w:p w14:paraId="094081E2">
            <w:pPr>
              <w:keepNext w:val="0"/>
              <w:keepLines w:val="0"/>
              <w:pageBreakBefore w:val="0"/>
              <w:widowControl w:val="0"/>
              <w:kinsoku/>
              <w:wordWrap/>
              <w:overflowPunct/>
              <w:topLinePunct w:val="0"/>
              <w:autoSpaceDE/>
              <w:autoSpaceDN/>
              <w:bidi w:val="0"/>
              <w:adjustRightInd/>
              <w:snapToGrid/>
              <w:spacing w:line="288" w:lineRule="auto"/>
              <w:ind w:firstLine="0" w:firstLineChars="0"/>
              <w:textAlignment w:val="auto"/>
              <w:rPr>
                <w:rFonts w:hint="eastAsia" w:ascii="Times New Roman" w:hAnsi="Times New Roman" w:eastAsia="楷体"/>
                <w:sz w:val="24"/>
                <w:szCs w:val="24"/>
                <w:lang w:val="en-US" w:eastAsia="zh-CN"/>
              </w:rPr>
            </w:pPr>
            <w:r>
              <w:rPr>
                <w:rFonts w:hint="eastAsia" w:ascii="Times New Roman" w:hAnsi="Times New Roman" w:eastAsia="楷体"/>
                <w:sz w:val="24"/>
                <w:szCs w:val="24"/>
                <w:lang w:val="en-US" w:eastAsia="zh-CN"/>
              </w:rPr>
              <w:t>家长报告式儿童自闭症风险评估与干预系统</w:t>
            </w:r>
          </w:p>
        </w:tc>
      </w:tr>
    </w:tbl>
    <w:p w14:paraId="5D7C847A"/>
    <w:p w14:paraId="2B89DADA">
      <w:pPr>
        <w:rPr>
          <w:rFonts w:hint="default" w:ascii="Times New Roman" w:hAnsi="Times New Roman" w:eastAsia="楷体"/>
          <w:b/>
          <w:bCs/>
          <w:sz w:val="28"/>
          <w:lang w:val="en-US" w:eastAsia="zh-CN"/>
        </w:rPr>
      </w:pPr>
      <w:r>
        <w:rPr>
          <w:rFonts w:hint="eastAsia" w:ascii="Times New Roman" w:hAnsi="Times New Roman" w:eastAsia="楷体"/>
          <w:b/>
          <w:bCs/>
          <w:sz w:val="28"/>
          <w:lang w:val="en-US" w:eastAsia="zh-CN"/>
        </w:rPr>
        <w:t>产品最终顺序</w:t>
      </w:r>
    </w:p>
    <w:tbl>
      <w:tblPr>
        <w:tblStyle w:val="2"/>
        <w:tblW w:w="60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80"/>
        <w:gridCol w:w="5010"/>
      </w:tblGrid>
      <w:tr w14:paraId="182E8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85" w:hRule="atLeast"/>
          <w:jc w:val="center"/>
        </w:trPr>
        <w:tc>
          <w:tcPr>
            <w:tcW w:w="1080" w:type="dxa"/>
            <w:shd w:val="clear" w:color="auto" w:fill="auto"/>
            <w:vAlign w:val="center"/>
          </w:tcPr>
          <w:p w14:paraId="76090AF5">
            <w:pPr>
              <w:keepNext w:val="0"/>
              <w:keepLines w:val="0"/>
              <w:widowControl/>
              <w:suppressLineNumbers w:val="0"/>
              <w:jc w:val="center"/>
              <w:textAlignment w:val="center"/>
              <w:rPr>
                <w:rFonts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排序</w:t>
            </w:r>
          </w:p>
        </w:tc>
        <w:tc>
          <w:tcPr>
            <w:tcW w:w="5010" w:type="dxa"/>
            <w:shd w:val="clear" w:color="auto" w:fill="auto"/>
            <w:vAlign w:val="center"/>
          </w:tcPr>
          <w:p w14:paraId="686A6FF7">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产品名称</w:t>
            </w:r>
          </w:p>
        </w:tc>
      </w:tr>
      <w:tr w14:paraId="455FC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1080" w:type="dxa"/>
            <w:shd w:val="clear" w:color="auto" w:fill="auto"/>
            <w:vAlign w:val="center"/>
          </w:tcPr>
          <w:p w14:paraId="00B2531B">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w:t>
            </w:r>
          </w:p>
        </w:tc>
        <w:tc>
          <w:tcPr>
            <w:tcW w:w="5010" w:type="dxa"/>
            <w:shd w:val="clear" w:color="auto" w:fill="auto"/>
            <w:vAlign w:val="center"/>
          </w:tcPr>
          <w:p w14:paraId="3B3CCCBC">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卒中风险评分</w:t>
            </w:r>
          </w:p>
        </w:tc>
      </w:tr>
      <w:tr w14:paraId="7B617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jc w:val="center"/>
        </w:trPr>
        <w:tc>
          <w:tcPr>
            <w:tcW w:w="1080" w:type="dxa"/>
            <w:shd w:val="clear" w:color="auto" w:fill="auto"/>
            <w:vAlign w:val="center"/>
          </w:tcPr>
          <w:p w14:paraId="276C268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w:t>
            </w:r>
          </w:p>
        </w:tc>
        <w:tc>
          <w:tcPr>
            <w:tcW w:w="5010" w:type="dxa"/>
            <w:shd w:val="clear" w:color="auto" w:fill="auto"/>
            <w:vAlign w:val="center"/>
          </w:tcPr>
          <w:p w14:paraId="0463366F">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房颤患者中风风险评估</w:t>
            </w:r>
          </w:p>
        </w:tc>
      </w:tr>
      <w:tr w14:paraId="2ABC9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jc w:val="center"/>
        </w:trPr>
        <w:tc>
          <w:tcPr>
            <w:tcW w:w="1080" w:type="dxa"/>
            <w:shd w:val="clear" w:color="auto" w:fill="auto"/>
            <w:vAlign w:val="center"/>
          </w:tcPr>
          <w:p w14:paraId="588D5DD9">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w:t>
            </w:r>
          </w:p>
        </w:tc>
        <w:tc>
          <w:tcPr>
            <w:tcW w:w="5010" w:type="dxa"/>
            <w:shd w:val="clear" w:color="auto" w:fill="auto"/>
            <w:vAlign w:val="center"/>
          </w:tcPr>
          <w:p w14:paraId="4D5A0E5C">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心血管疾病风险预测</w:t>
            </w:r>
          </w:p>
        </w:tc>
      </w:tr>
      <w:tr w14:paraId="56ADF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00" w:hRule="atLeast"/>
          <w:jc w:val="center"/>
        </w:trPr>
        <w:tc>
          <w:tcPr>
            <w:tcW w:w="1080" w:type="dxa"/>
            <w:shd w:val="clear" w:color="auto" w:fill="auto"/>
            <w:vAlign w:val="center"/>
          </w:tcPr>
          <w:p w14:paraId="53B1A83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4</w:t>
            </w:r>
          </w:p>
        </w:tc>
        <w:tc>
          <w:tcPr>
            <w:tcW w:w="5010" w:type="dxa"/>
            <w:shd w:val="clear" w:color="auto" w:fill="auto"/>
            <w:vAlign w:val="center"/>
          </w:tcPr>
          <w:p w14:paraId="1643AF74">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心脏代谢风险评估</w:t>
            </w:r>
          </w:p>
        </w:tc>
      </w:tr>
      <w:tr w14:paraId="229EB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1080" w:type="dxa"/>
            <w:shd w:val="clear" w:color="auto" w:fill="auto"/>
            <w:vAlign w:val="center"/>
          </w:tcPr>
          <w:p w14:paraId="1863FEF2">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5</w:t>
            </w:r>
          </w:p>
        </w:tc>
        <w:tc>
          <w:tcPr>
            <w:tcW w:w="5010" w:type="dxa"/>
            <w:shd w:val="clear" w:color="auto" w:fill="auto"/>
            <w:vAlign w:val="center"/>
          </w:tcPr>
          <w:p w14:paraId="4BA240DD">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中风康复人群新发房颤风险评估</w:t>
            </w:r>
          </w:p>
        </w:tc>
      </w:tr>
      <w:tr w14:paraId="03334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1080" w:type="dxa"/>
            <w:shd w:val="clear" w:color="auto" w:fill="auto"/>
            <w:vAlign w:val="center"/>
          </w:tcPr>
          <w:p w14:paraId="3C8C181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6</w:t>
            </w:r>
          </w:p>
        </w:tc>
        <w:tc>
          <w:tcPr>
            <w:tcW w:w="5010" w:type="dxa"/>
            <w:shd w:val="clear" w:color="auto" w:fill="auto"/>
            <w:vAlign w:val="center"/>
          </w:tcPr>
          <w:p w14:paraId="45F3A378">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房颤患者出血风险评估</w:t>
            </w:r>
          </w:p>
        </w:tc>
      </w:tr>
      <w:tr w14:paraId="4E31D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080" w:type="dxa"/>
            <w:shd w:val="clear" w:color="auto" w:fill="auto"/>
            <w:vAlign w:val="center"/>
          </w:tcPr>
          <w:p w14:paraId="0BB1D1B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7</w:t>
            </w:r>
          </w:p>
        </w:tc>
        <w:tc>
          <w:tcPr>
            <w:tcW w:w="5010" w:type="dxa"/>
            <w:shd w:val="clear" w:color="auto" w:fill="auto"/>
            <w:vAlign w:val="center"/>
          </w:tcPr>
          <w:p w14:paraId="6C73EE95">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慢性乙型肝炎患者患肝细胞癌风险预测</w:t>
            </w:r>
          </w:p>
        </w:tc>
      </w:tr>
      <w:tr w14:paraId="29062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center"/>
        </w:trPr>
        <w:tc>
          <w:tcPr>
            <w:tcW w:w="1080" w:type="dxa"/>
            <w:shd w:val="clear" w:color="auto" w:fill="auto"/>
            <w:vAlign w:val="center"/>
          </w:tcPr>
          <w:p w14:paraId="76FE0066">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8</w:t>
            </w:r>
          </w:p>
        </w:tc>
        <w:tc>
          <w:tcPr>
            <w:tcW w:w="5010" w:type="dxa"/>
            <w:shd w:val="clear" w:color="auto" w:fill="auto"/>
            <w:vAlign w:val="center"/>
          </w:tcPr>
          <w:p w14:paraId="6177A6C1">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患结直肠癌风险评估</w:t>
            </w:r>
          </w:p>
        </w:tc>
      </w:tr>
      <w:tr w14:paraId="677EE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080" w:type="dxa"/>
            <w:shd w:val="clear" w:color="auto" w:fill="auto"/>
            <w:vAlign w:val="center"/>
          </w:tcPr>
          <w:p w14:paraId="4089610D">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9</w:t>
            </w:r>
          </w:p>
        </w:tc>
        <w:tc>
          <w:tcPr>
            <w:tcW w:w="5010" w:type="dxa"/>
            <w:shd w:val="clear" w:color="auto" w:fill="auto"/>
            <w:vAlign w:val="center"/>
          </w:tcPr>
          <w:p w14:paraId="0A48B98E">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患癌风险评估</w:t>
            </w:r>
          </w:p>
        </w:tc>
      </w:tr>
      <w:tr w14:paraId="7556A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080" w:type="dxa"/>
            <w:shd w:val="clear" w:color="auto" w:fill="auto"/>
            <w:vAlign w:val="center"/>
          </w:tcPr>
          <w:p w14:paraId="70037B17">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10</w:t>
            </w:r>
          </w:p>
        </w:tc>
        <w:tc>
          <w:tcPr>
            <w:tcW w:w="5010" w:type="dxa"/>
            <w:shd w:val="clear" w:color="auto" w:fill="auto"/>
            <w:vAlign w:val="center"/>
          </w:tcPr>
          <w:p w14:paraId="736C8770">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慢性阻塞性肺疾病筛查工具</w:t>
            </w:r>
          </w:p>
        </w:tc>
      </w:tr>
      <w:tr w14:paraId="444F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jc w:val="center"/>
        </w:trPr>
        <w:tc>
          <w:tcPr>
            <w:tcW w:w="1080" w:type="dxa"/>
            <w:shd w:val="clear" w:color="auto" w:fill="auto"/>
            <w:vAlign w:val="center"/>
          </w:tcPr>
          <w:p w14:paraId="781CCE8D">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11</w:t>
            </w:r>
          </w:p>
        </w:tc>
        <w:tc>
          <w:tcPr>
            <w:tcW w:w="5010" w:type="dxa"/>
            <w:shd w:val="clear" w:color="auto" w:fill="auto"/>
            <w:vAlign w:val="center"/>
          </w:tcPr>
          <w:p w14:paraId="79C6DDF2">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肾</w:t>
            </w:r>
            <w:r>
              <w:rPr>
                <w:rStyle w:val="4"/>
                <w:lang w:val="en-US" w:eastAsia="zh-CN" w:bidi="ar"/>
              </w:rPr>
              <w:t>功能风险模型</w:t>
            </w:r>
          </w:p>
        </w:tc>
      </w:tr>
      <w:tr w14:paraId="71A9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080" w:type="dxa"/>
            <w:shd w:val="clear" w:color="auto" w:fill="auto"/>
            <w:vAlign w:val="center"/>
          </w:tcPr>
          <w:p w14:paraId="6856C3C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12</w:t>
            </w:r>
          </w:p>
        </w:tc>
        <w:tc>
          <w:tcPr>
            <w:tcW w:w="5010" w:type="dxa"/>
            <w:shd w:val="clear" w:color="auto" w:fill="auto"/>
            <w:vAlign w:val="center"/>
          </w:tcPr>
          <w:p w14:paraId="4A08A281">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慢性肾脏病进展风险预测工具</w:t>
            </w:r>
          </w:p>
        </w:tc>
      </w:tr>
      <w:tr w14:paraId="0B494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080" w:type="dxa"/>
            <w:shd w:val="clear" w:color="auto" w:fill="auto"/>
            <w:vAlign w:val="center"/>
          </w:tcPr>
          <w:p w14:paraId="3FB2D7DA">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13</w:t>
            </w:r>
          </w:p>
        </w:tc>
        <w:tc>
          <w:tcPr>
            <w:tcW w:w="5010" w:type="dxa"/>
            <w:shd w:val="clear" w:color="auto" w:fill="auto"/>
            <w:vAlign w:val="center"/>
          </w:tcPr>
          <w:p w14:paraId="711DAD7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5</w:t>
            </w:r>
            <w:r>
              <w:rPr>
                <w:rStyle w:val="4"/>
                <w:lang w:val="en-US" w:eastAsia="zh-CN" w:bidi="ar"/>
              </w:rPr>
              <w:t>年内</w:t>
            </w:r>
            <w:r>
              <w:rPr>
                <w:rStyle w:val="5"/>
                <w:rFonts w:eastAsia="宋体"/>
                <w:lang w:val="en-US" w:eastAsia="zh-CN" w:bidi="ar"/>
              </w:rPr>
              <w:t>2</w:t>
            </w:r>
            <w:r>
              <w:rPr>
                <w:rStyle w:val="4"/>
                <w:lang w:val="en-US" w:eastAsia="zh-CN" w:bidi="ar"/>
              </w:rPr>
              <w:t>型糖尿病发病风险评估</w:t>
            </w:r>
          </w:p>
        </w:tc>
      </w:tr>
      <w:tr w14:paraId="0EC03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1080" w:type="dxa"/>
            <w:shd w:val="clear" w:color="auto" w:fill="auto"/>
            <w:vAlign w:val="center"/>
          </w:tcPr>
          <w:p w14:paraId="65DE0887">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14</w:t>
            </w:r>
          </w:p>
        </w:tc>
        <w:tc>
          <w:tcPr>
            <w:tcW w:w="5010" w:type="dxa"/>
            <w:shd w:val="clear" w:color="auto" w:fill="auto"/>
            <w:vAlign w:val="center"/>
          </w:tcPr>
          <w:p w14:paraId="334FB6DF">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糖尿病风险计算器</w:t>
            </w:r>
          </w:p>
        </w:tc>
      </w:tr>
      <w:tr w14:paraId="518B8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80" w:type="dxa"/>
            <w:shd w:val="clear" w:color="auto" w:fill="auto"/>
            <w:vAlign w:val="center"/>
          </w:tcPr>
          <w:p w14:paraId="485975D7">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15</w:t>
            </w:r>
          </w:p>
        </w:tc>
        <w:tc>
          <w:tcPr>
            <w:tcW w:w="5010" w:type="dxa"/>
            <w:shd w:val="clear" w:color="auto" w:fill="auto"/>
            <w:vAlign w:val="center"/>
          </w:tcPr>
          <w:p w14:paraId="54DF9FD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w:t>
            </w:r>
            <w:r>
              <w:rPr>
                <w:rStyle w:val="4"/>
                <w:lang w:val="en-US" w:eastAsia="zh-CN" w:bidi="ar"/>
              </w:rPr>
              <w:t>–</w:t>
            </w:r>
            <w:r>
              <w:rPr>
                <w:rStyle w:val="5"/>
                <w:rFonts w:eastAsia="宋体"/>
                <w:lang w:val="en-US" w:eastAsia="zh-CN" w:bidi="ar"/>
              </w:rPr>
              <w:t>74</w:t>
            </w:r>
            <w:r>
              <w:rPr>
                <w:rStyle w:val="4"/>
                <w:lang w:val="en-US" w:eastAsia="zh-CN" w:bidi="ar"/>
              </w:rPr>
              <w:t>岁人群糖尿病风险评估</w:t>
            </w:r>
          </w:p>
        </w:tc>
      </w:tr>
      <w:tr w14:paraId="5D312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jc w:val="center"/>
        </w:trPr>
        <w:tc>
          <w:tcPr>
            <w:tcW w:w="1080" w:type="dxa"/>
            <w:shd w:val="clear" w:color="auto" w:fill="auto"/>
            <w:vAlign w:val="center"/>
          </w:tcPr>
          <w:p w14:paraId="6813B4C9">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16</w:t>
            </w:r>
          </w:p>
        </w:tc>
        <w:tc>
          <w:tcPr>
            <w:tcW w:w="5010" w:type="dxa"/>
            <w:shd w:val="clear" w:color="auto" w:fill="auto"/>
            <w:vAlign w:val="center"/>
          </w:tcPr>
          <w:p w14:paraId="0CAE8A99">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w:t>
            </w:r>
            <w:r>
              <w:rPr>
                <w:rStyle w:val="4"/>
                <w:lang w:val="en-US" w:eastAsia="zh-CN" w:bidi="ar"/>
              </w:rPr>
              <w:t>型糖尿病发生风险评估工具（</w:t>
            </w:r>
            <w:r>
              <w:rPr>
                <w:rStyle w:val="5"/>
                <w:rFonts w:eastAsia="宋体"/>
                <w:lang w:val="en-US" w:eastAsia="zh-CN" w:bidi="ar"/>
              </w:rPr>
              <w:t>10</w:t>
            </w:r>
            <w:r>
              <w:rPr>
                <w:rStyle w:val="4"/>
                <w:lang w:val="en-US" w:eastAsia="zh-CN" w:bidi="ar"/>
              </w:rPr>
              <w:t>年风险概率）</w:t>
            </w:r>
          </w:p>
        </w:tc>
      </w:tr>
      <w:tr w14:paraId="322FA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27" w:hRule="atLeast"/>
          <w:jc w:val="center"/>
        </w:trPr>
        <w:tc>
          <w:tcPr>
            <w:tcW w:w="1080" w:type="dxa"/>
            <w:shd w:val="clear" w:color="auto" w:fill="auto"/>
            <w:vAlign w:val="center"/>
          </w:tcPr>
          <w:p w14:paraId="7235B06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17</w:t>
            </w:r>
          </w:p>
        </w:tc>
        <w:tc>
          <w:tcPr>
            <w:tcW w:w="5010" w:type="dxa"/>
            <w:shd w:val="clear" w:color="auto" w:fill="auto"/>
            <w:vAlign w:val="center"/>
          </w:tcPr>
          <w:p w14:paraId="56BDE52E">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自甲状腺功能计算器</w:t>
            </w:r>
          </w:p>
        </w:tc>
      </w:tr>
      <w:tr w14:paraId="6B90F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jc w:val="center"/>
        </w:trPr>
        <w:tc>
          <w:tcPr>
            <w:tcW w:w="1080" w:type="dxa"/>
            <w:shd w:val="clear" w:color="auto" w:fill="auto"/>
            <w:vAlign w:val="center"/>
          </w:tcPr>
          <w:p w14:paraId="150CAD8E">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18</w:t>
            </w:r>
          </w:p>
        </w:tc>
        <w:tc>
          <w:tcPr>
            <w:tcW w:w="5010" w:type="dxa"/>
            <w:shd w:val="clear" w:color="auto" w:fill="auto"/>
            <w:vAlign w:val="center"/>
          </w:tcPr>
          <w:p w14:paraId="1E7057DF">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自身免疫病风险预测（抗核抗体阳性人群）</w:t>
            </w:r>
          </w:p>
        </w:tc>
      </w:tr>
      <w:tr w14:paraId="076D2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1080" w:type="dxa"/>
            <w:shd w:val="clear" w:color="auto" w:fill="auto"/>
            <w:vAlign w:val="center"/>
          </w:tcPr>
          <w:p w14:paraId="3A7C0787">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19</w:t>
            </w:r>
          </w:p>
        </w:tc>
        <w:tc>
          <w:tcPr>
            <w:tcW w:w="5010" w:type="dxa"/>
            <w:shd w:val="clear" w:color="auto" w:fill="auto"/>
            <w:vAlign w:val="center"/>
          </w:tcPr>
          <w:p w14:paraId="0C4DDFF3">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成人免疫健康状态评估</w:t>
            </w:r>
          </w:p>
        </w:tc>
      </w:tr>
      <w:tr w14:paraId="265A0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 w:hRule="atLeast"/>
          <w:jc w:val="center"/>
        </w:trPr>
        <w:tc>
          <w:tcPr>
            <w:tcW w:w="1080" w:type="dxa"/>
            <w:shd w:val="clear" w:color="auto" w:fill="auto"/>
            <w:vAlign w:val="center"/>
          </w:tcPr>
          <w:p w14:paraId="17AF58B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20</w:t>
            </w:r>
          </w:p>
        </w:tc>
        <w:tc>
          <w:tcPr>
            <w:tcW w:w="5010" w:type="dxa"/>
            <w:shd w:val="clear" w:color="auto" w:fill="auto"/>
            <w:vAlign w:val="center"/>
          </w:tcPr>
          <w:p w14:paraId="6D53B02A">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脂肪肝风险评估</w:t>
            </w:r>
          </w:p>
        </w:tc>
      </w:tr>
      <w:tr w14:paraId="130BD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jc w:val="center"/>
        </w:trPr>
        <w:tc>
          <w:tcPr>
            <w:tcW w:w="1080" w:type="dxa"/>
            <w:shd w:val="clear" w:color="auto" w:fill="auto"/>
            <w:vAlign w:val="center"/>
          </w:tcPr>
          <w:p w14:paraId="31FD69C1">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21</w:t>
            </w:r>
          </w:p>
        </w:tc>
        <w:tc>
          <w:tcPr>
            <w:tcW w:w="5010" w:type="dxa"/>
            <w:shd w:val="clear" w:color="auto" w:fill="auto"/>
            <w:vAlign w:val="center"/>
          </w:tcPr>
          <w:p w14:paraId="2B4A2567">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肝纤维化风险评估工具</w:t>
            </w:r>
          </w:p>
        </w:tc>
      </w:tr>
      <w:tr w14:paraId="1D5F9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jc w:val="center"/>
        </w:trPr>
        <w:tc>
          <w:tcPr>
            <w:tcW w:w="1080" w:type="dxa"/>
            <w:shd w:val="clear" w:color="auto" w:fill="auto"/>
            <w:vAlign w:val="center"/>
          </w:tcPr>
          <w:p w14:paraId="7D28FAD3">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22</w:t>
            </w:r>
          </w:p>
        </w:tc>
        <w:tc>
          <w:tcPr>
            <w:tcW w:w="5010" w:type="dxa"/>
            <w:shd w:val="clear" w:color="auto" w:fill="auto"/>
            <w:vAlign w:val="center"/>
          </w:tcPr>
          <w:p w14:paraId="25D255E5">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冲动风险评估与干预系统</w:t>
            </w:r>
          </w:p>
        </w:tc>
      </w:tr>
      <w:tr w14:paraId="1A58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15" w:hRule="atLeast"/>
          <w:jc w:val="center"/>
        </w:trPr>
        <w:tc>
          <w:tcPr>
            <w:tcW w:w="1080" w:type="dxa"/>
            <w:shd w:val="clear" w:color="auto" w:fill="auto"/>
            <w:vAlign w:val="center"/>
          </w:tcPr>
          <w:p w14:paraId="4CD79860">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23</w:t>
            </w:r>
          </w:p>
        </w:tc>
        <w:tc>
          <w:tcPr>
            <w:tcW w:w="5010" w:type="dxa"/>
            <w:shd w:val="clear" w:color="auto" w:fill="auto"/>
            <w:vAlign w:val="center"/>
          </w:tcPr>
          <w:p w14:paraId="4E872BFD">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成人痛风风险评估</w:t>
            </w:r>
          </w:p>
        </w:tc>
      </w:tr>
      <w:tr w14:paraId="526D8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jc w:val="center"/>
        </w:trPr>
        <w:tc>
          <w:tcPr>
            <w:tcW w:w="1080" w:type="dxa"/>
            <w:shd w:val="clear" w:color="auto" w:fill="auto"/>
            <w:vAlign w:val="center"/>
          </w:tcPr>
          <w:p w14:paraId="068D4B54">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24</w:t>
            </w:r>
          </w:p>
        </w:tc>
        <w:tc>
          <w:tcPr>
            <w:tcW w:w="5010" w:type="dxa"/>
            <w:shd w:val="clear" w:color="auto" w:fill="auto"/>
            <w:vAlign w:val="center"/>
          </w:tcPr>
          <w:p w14:paraId="1F666A29">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急性痛风风险评估</w:t>
            </w:r>
          </w:p>
        </w:tc>
      </w:tr>
      <w:tr w14:paraId="155EB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080" w:type="dxa"/>
            <w:shd w:val="clear" w:color="auto" w:fill="auto"/>
            <w:vAlign w:val="center"/>
          </w:tcPr>
          <w:p w14:paraId="19443D80">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25</w:t>
            </w:r>
          </w:p>
        </w:tc>
        <w:tc>
          <w:tcPr>
            <w:tcW w:w="5010" w:type="dxa"/>
            <w:shd w:val="clear" w:color="auto" w:fill="auto"/>
            <w:vAlign w:val="center"/>
          </w:tcPr>
          <w:p w14:paraId="3FD3E329">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妊娠糖尿病风险预测工具</w:t>
            </w:r>
          </w:p>
        </w:tc>
      </w:tr>
      <w:tr w14:paraId="27D21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jc w:val="center"/>
        </w:trPr>
        <w:tc>
          <w:tcPr>
            <w:tcW w:w="1080" w:type="dxa"/>
            <w:shd w:val="clear" w:color="auto" w:fill="auto"/>
            <w:vAlign w:val="center"/>
          </w:tcPr>
          <w:p w14:paraId="0F4686F4">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26</w:t>
            </w:r>
          </w:p>
        </w:tc>
        <w:tc>
          <w:tcPr>
            <w:tcW w:w="5010" w:type="dxa"/>
            <w:shd w:val="clear" w:color="auto" w:fill="auto"/>
            <w:vAlign w:val="center"/>
          </w:tcPr>
          <w:p w14:paraId="772EA345">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失眠严重程度评估</w:t>
            </w:r>
          </w:p>
        </w:tc>
      </w:tr>
      <w:tr w14:paraId="34F33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1080" w:type="dxa"/>
            <w:shd w:val="clear" w:color="auto" w:fill="auto"/>
            <w:vAlign w:val="center"/>
          </w:tcPr>
          <w:p w14:paraId="0A35819C">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27</w:t>
            </w:r>
          </w:p>
        </w:tc>
        <w:tc>
          <w:tcPr>
            <w:tcW w:w="5010" w:type="dxa"/>
            <w:shd w:val="clear" w:color="auto" w:fill="auto"/>
            <w:vAlign w:val="center"/>
          </w:tcPr>
          <w:p w14:paraId="2C32F832">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疲劳程度评估</w:t>
            </w:r>
          </w:p>
        </w:tc>
      </w:tr>
      <w:tr w14:paraId="06D83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080" w:type="dxa"/>
            <w:shd w:val="clear" w:color="auto" w:fill="auto"/>
            <w:vAlign w:val="center"/>
          </w:tcPr>
          <w:p w14:paraId="68243BC9">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28</w:t>
            </w:r>
          </w:p>
        </w:tc>
        <w:tc>
          <w:tcPr>
            <w:tcW w:w="5010" w:type="dxa"/>
            <w:shd w:val="clear" w:color="auto" w:fill="auto"/>
            <w:vAlign w:val="center"/>
          </w:tcPr>
          <w:p w14:paraId="2F863201">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亚健康状态评估（</w:t>
            </w:r>
            <w:r>
              <w:rPr>
                <w:rStyle w:val="5"/>
                <w:rFonts w:eastAsia="楷体"/>
                <w:lang w:val="en-US" w:eastAsia="zh-CN" w:bidi="ar"/>
              </w:rPr>
              <w:t>25</w:t>
            </w:r>
            <w:r>
              <w:rPr>
                <w:rStyle w:val="4"/>
                <w:lang w:val="en-US" w:eastAsia="zh-CN" w:bidi="ar"/>
              </w:rPr>
              <w:t>项）</w:t>
            </w:r>
          </w:p>
        </w:tc>
      </w:tr>
      <w:tr w14:paraId="1E525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1080" w:type="dxa"/>
            <w:shd w:val="clear" w:color="auto" w:fill="auto"/>
            <w:vAlign w:val="center"/>
          </w:tcPr>
          <w:p w14:paraId="2A5664A8">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29</w:t>
            </w:r>
          </w:p>
        </w:tc>
        <w:tc>
          <w:tcPr>
            <w:tcW w:w="5010" w:type="dxa"/>
            <w:shd w:val="clear" w:color="auto" w:fill="auto"/>
            <w:vAlign w:val="center"/>
          </w:tcPr>
          <w:p w14:paraId="6C6391C8">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儿童营养风险评估</w:t>
            </w:r>
          </w:p>
        </w:tc>
      </w:tr>
      <w:tr w14:paraId="4E44F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1080" w:type="dxa"/>
            <w:shd w:val="clear" w:color="auto" w:fill="auto"/>
            <w:vAlign w:val="center"/>
          </w:tcPr>
          <w:p w14:paraId="263BFA4D">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30</w:t>
            </w:r>
          </w:p>
        </w:tc>
        <w:tc>
          <w:tcPr>
            <w:tcW w:w="5010" w:type="dxa"/>
            <w:shd w:val="clear" w:color="auto" w:fill="auto"/>
            <w:vAlign w:val="center"/>
          </w:tcPr>
          <w:p w14:paraId="67EE95BC">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儿童肥胖评估</w:t>
            </w:r>
          </w:p>
        </w:tc>
      </w:tr>
      <w:tr w14:paraId="03245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080" w:type="dxa"/>
            <w:shd w:val="clear" w:color="auto" w:fill="auto"/>
            <w:vAlign w:val="center"/>
          </w:tcPr>
          <w:p w14:paraId="28961F6F">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31</w:t>
            </w:r>
          </w:p>
        </w:tc>
        <w:tc>
          <w:tcPr>
            <w:tcW w:w="5010" w:type="dxa"/>
            <w:shd w:val="clear" w:color="auto" w:fill="auto"/>
            <w:vAlign w:val="center"/>
          </w:tcPr>
          <w:p w14:paraId="27C88749">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儿童多动症风险评估与干预系统</w:t>
            </w:r>
          </w:p>
        </w:tc>
      </w:tr>
      <w:tr w14:paraId="7BC3E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34" w:hRule="atLeast"/>
          <w:jc w:val="center"/>
        </w:trPr>
        <w:tc>
          <w:tcPr>
            <w:tcW w:w="1080" w:type="dxa"/>
            <w:shd w:val="clear" w:color="auto" w:fill="auto"/>
            <w:vAlign w:val="center"/>
          </w:tcPr>
          <w:p w14:paraId="0EF4A14D">
            <w:pPr>
              <w:keepNext w:val="0"/>
              <w:keepLines w:val="0"/>
              <w:widowControl/>
              <w:suppressLineNumbers w:val="0"/>
              <w:jc w:val="center"/>
              <w:textAlignment w:val="center"/>
              <w:rPr>
                <w:rFonts w:hint="default" w:ascii="Times New Roman" w:hAnsi="Times New Roman" w:eastAsia="宋体" w:cs="Times New Roman"/>
                <w:i w:val="0"/>
                <w:iCs w:val="0"/>
                <w:color w:val="000000"/>
                <w:sz w:val="24"/>
                <w:szCs w:val="24"/>
                <w:u w:val="none"/>
              </w:rPr>
            </w:pPr>
            <w:r>
              <w:rPr>
                <w:rFonts w:hint="default" w:ascii="Times New Roman" w:hAnsi="Times New Roman" w:eastAsia="宋体" w:cs="Times New Roman"/>
                <w:i w:val="0"/>
                <w:iCs w:val="0"/>
                <w:color w:val="000000"/>
                <w:kern w:val="0"/>
                <w:sz w:val="24"/>
                <w:szCs w:val="24"/>
                <w:u w:val="none"/>
                <w:lang w:val="en-US" w:eastAsia="zh-CN" w:bidi="ar"/>
              </w:rPr>
              <w:t>32</w:t>
            </w:r>
          </w:p>
        </w:tc>
        <w:tc>
          <w:tcPr>
            <w:tcW w:w="5010" w:type="dxa"/>
            <w:shd w:val="clear" w:color="auto" w:fill="auto"/>
            <w:vAlign w:val="center"/>
          </w:tcPr>
          <w:p w14:paraId="7524C7E4">
            <w:pPr>
              <w:keepNext w:val="0"/>
              <w:keepLines w:val="0"/>
              <w:widowControl/>
              <w:suppressLineNumbers w:val="0"/>
              <w:jc w:val="center"/>
              <w:textAlignment w:val="center"/>
              <w:rPr>
                <w:rFonts w:hint="eastAsia" w:ascii="楷体" w:hAnsi="楷体" w:eastAsia="楷体" w:cs="楷体"/>
                <w:i w:val="0"/>
                <w:iCs w:val="0"/>
                <w:color w:val="000000"/>
                <w:sz w:val="24"/>
                <w:szCs w:val="24"/>
                <w:u w:val="none"/>
              </w:rPr>
            </w:pPr>
            <w:r>
              <w:rPr>
                <w:rFonts w:hint="eastAsia" w:ascii="楷体" w:hAnsi="楷体" w:eastAsia="楷体" w:cs="楷体"/>
                <w:i w:val="0"/>
                <w:iCs w:val="0"/>
                <w:color w:val="000000"/>
                <w:kern w:val="0"/>
                <w:sz w:val="24"/>
                <w:szCs w:val="24"/>
                <w:u w:val="none"/>
                <w:lang w:val="en-US" w:eastAsia="zh-CN" w:bidi="ar"/>
              </w:rPr>
              <w:t>家长报告式儿童自闭症风险评估与干预系统</w:t>
            </w:r>
          </w:p>
        </w:tc>
      </w:tr>
    </w:tbl>
    <w:p w14:paraId="54900DC2"/>
    <w:p w14:paraId="52CBCBA8"/>
    <w:p w14:paraId="4162429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C806CB"/>
    <w:rsid w:val="019726A7"/>
    <w:rsid w:val="0BB6253A"/>
    <w:rsid w:val="0DA90E87"/>
    <w:rsid w:val="0E012A71"/>
    <w:rsid w:val="20AC4ABE"/>
    <w:rsid w:val="32894C60"/>
    <w:rsid w:val="366652B8"/>
    <w:rsid w:val="62C806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customStyle="1" w:styleId="4">
    <w:name w:val="font11"/>
    <w:basedOn w:val="3"/>
    <w:uiPriority w:val="0"/>
    <w:rPr>
      <w:rFonts w:hint="eastAsia" w:ascii="楷体" w:hAnsi="楷体" w:eastAsia="楷体" w:cs="楷体"/>
      <w:color w:val="000000"/>
      <w:sz w:val="24"/>
      <w:szCs w:val="24"/>
      <w:u w:val="none"/>
    </w:rPr>
  </w:style>
  <w:style w:type="character" w:customStyle="1" w:styleId="5">
    <w:name w:val="font21"/>
    <w:basedOn w:val="3"/>
    <w:uiPriority w:val="0"/>
    <w:rPr>
      <w:rFonts w:hint="default" w:ascii="Times New Roman" w:hAnsi="Times New Roman" w:cs="Times New Roman"/>
      <w:color w:val="000000"/>
      <w:sz w:val="24"/>
      <w:szCs w:val="24"/>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1625</Words>
  <Characters>1701</Characters>
  <Lines>0</Lines>
  <Paragraphs>0</Paragraphs>
  <TotalTime>0</TotalTime>
  <ScaleCrop>false</ScaleCrop>
  <LinksUpToDate>false</LinksUpToDate>
  <CharactersWithSpaces>1734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2025-12-12T08:26:00Z</dcterms:created>
  <dc:creator>？？？</dc:creator>
  <cp:lastModifiedBy>？？？</cp:lastModifiedBy>
  <dcterms:modified xsi:type="dcterms:W3CDTF">2025-12-31T03:26:01Z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2678A79A5559438697D6B4B436C26444_11</vt:lpwstr>
  </property>
  <property fmtid="{D5CDD505-2E9C-101B-9397-08002B2CF9AE}" pid="4" name="KSOTemplateDocerSaveRecord">
    <vt:lpwstr>eyJoZGlkIjoiMDM0MGYxNmUxNGQ3MTNiM2QxOTBjMWNiYmVkNTY2ZTMiLCJ1c2VySWQiOiIxNzIxNDMxMzQ3In0=</vt:lpwstr>
  </property>
</Properties>
</file>