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8225C8">
      <w:pPr>
        <w:jc w:val="cente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预防干预-日常状态</w:t>
      </w:r>
      <w:r>
        <w:rPr>
          <w:rFonts w:hint="eastAsia" w:ascii="楷体" w:hAnsi="楷体" w:eastAsia="楷体" w:cs="楷体"/>
          <w:b/>
          <w:bCs/>
          <w:sz w:val="28"/>
          <w:szCs w:val="28"/>
        </w:rPr>
        <w:t>总结模块</w:t>
      </w:r>
      <w:r>
        <w:rPr>
          <w:rFonts w:hint="eastAsia" w:ascii="楷体" w:hAnsi="楷体" w:eastAsia="楷体" w:cs="楷体"/>
          <w:b/>
          <w:bCs/>
          <w:sz w:val="28"/>
          <w:szCs w:val="28"/>
          <w:lang w:val="en-US" w:eastAsia="zh-CN"/>
        </w:rPr>
        <w:t>说明</w:t>
      </w:r>
    </w:p>
    <w:p w14:paraId="2D12A64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一、模块定位：</w:t>
      </w:r>
    </w:p>
    <w:p w14:paraId="378303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本模块属于</w:t>
      </w:r>
      <w:r>
        <w:rPr>
          <w:rFonts w:hint="eastAsia" w:ascii="Times New Roman" w:hAnsi="Times New Roman" w:eastAsia="楷体" w:cs="Times New Roman"/>
          <w:b w:val="0"/>
          <w:bCs w:val="0"/>
          <w:sz w:val="24"/>
          <w:szCs w:val="24"/>
          <w:lang w:val="en-US" w:eastAsia="zh-CN"/>
        </w:rPr>
        <w:t>【健康风险总结】</w:t>
      </w:r>
      <w:r>
        <w:rPr>
          <w:rFonts w:hint="default" w:ascii="Times New Roman" w:hAnsi="Times New Roman" w:eastAsia="楷体" w:cs="Times New Roman"/>
          <w:b w:val="0"/>
          <w:bCs w:val="0"/>
          <w:sz w:val="24"/>
          <w:szCs w:val="24"/>
          <w:lang w:val="en-US" w:eastAsia="zh-CN"/>
        </w:rPr>
        <w:t>是</w:t>
      </w:r>
      <w:r>
        <w:rPr>
          <w:rFonts w:hint="eastAsia" w:ascii="Times New Roman" w:hAnsi="Times New Roman" w:eastAsia="楷体" w:cs="Times New Roman"/>
          <w:b w:val="0"/>
          <w:bCs w:val="0"/>
          <w:sz w:val="24"/>
          <w:szCs w:val="24"/>
          <w:lang w:val="en-US" w:eastAsia="zh-CN"/>
        </w:rPr>
        <w:t>预防干预</w:t>
      </w:r>
      <w:r>
        <w:rPr>
          <w:rFonts w:hint="default" w:ascii="Times New Roman" w:hAnsi="Times New Roman" w:eastAsia="楷体" w:cs="Times New Roman"/>
          <w:b w:val="0"/>
          <w:bCs w:val="0"/>
          <w:sz w:val="24"/>
          <w:szCs w:val="24"/>
          <w:lang w:val="en-US" w:eastAsia="zh-CN"/>
        </w:rPr>
        <w:t>模块中唯一的综合输出模块</w:t>
      </w:r>
      <w:r>
        <w:rPr>
          <w:rFonts w:hint="eastAsia" w:ascii="Times New Roman" w:hAnsi="Times New Roman" w:eastAsia="楷体" w:cs="Times New Roman"/>
          <w:b w:val="0"/>
          <w:bCs w:val="0"/>
          <w:sz w:val="24"/>
          <w:szCs w:val="24"/>
          <w:lang w:val="en-US" w:eastAsia="zh-CN"/>
        </w:rPr>
        <w:t>；</w:t>
      </w:r>
    </w:p>
    <w:p w14:paraId="5A495A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面向用户端展示，内部逻辑对用户不可见</w:t>
      </w:r>
      <w:r>
        <w:rPr>
          <w:rFonts w:hint="eastAsia" w:ascii="Times New Roman" w:hAnsi="Times New Roman" w:eastAsia="楷体" w:cs="Times New Roman"/>
          <w:b w:val="0"/>
          <w:bCs w:val="0"/>
          <w:sz w:val="24"/>
          <w:szCs w:val="24"/>
          <w:lang w:val="en-US" w:eastAsia="zh-CN"/>
        </w:rPr>
        <w:t>。</w:t>
      </w:r>
    </w:p>
    <w:p w14:paraId="43C43A2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二、使用频率与触发规则</w:t>
      </w:r>
    </w:p>
    <w:p w14:paraId="51DDFD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bCs/>
          <w:sz w:val="24"/>
          <w:szCs w:val="24"/>
          <w:lang w:val="en-US" w:eastAsia="zh-CN"/>
        </w:rPr>
        <w:t>1.</w:t>
      </w:r>
      <w:r>
        <w:rPr>
          <w:rFonts w:hint="default" w:ascii="Times New Roman" w:hAnsi="Times New Roman" w:eastAsia="楷体" w:cs="Times New Roman"/>
          <w:b/>
          <w:bCs/>
          <w:sz w:val="24"/>
          <w:szCs w:val="24"/>
          <w:lang w:val="en-US" w:eastAsia="zh-CN"/>
        </w:rPr>
        <w:t>数据前置条件</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gridCol w:w="4064"/>
      </w:tblGrid>
      <w:tr w14:paraId="5CFEC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55" w:type="dxa"/>
            <w:tcBorders>
              <w:top w:val="single" w:color="000000" w:sz="12" w:space="0"/>
              <w:left w:val="nil"/>
              <w:bottom w:val="single" w:color="000000" w:sz="4" w:space="0"/>
              <w:right w:val="nil"/>
              <w:tl2br w:val="nil"/>
            </w:tcBorders>
            <w:shd w:val="clear" w:color="auto" w:fill="FFFFFF"/>
          </w:tcPr>
          <w:p w14:paraId="7990333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color w:val="000000"/>
                <w:sz w:val="24"/>
                <w:szCs w:val="24"/>
                <w:vertAlign w:val="baseline"/>
                <w:lang w:val="en-US" w:eastAsia="zh-CN"/>
              </w:rPr>
            </w:pPr>
            <w:r>
              <w:rPr>
                <w:rFonts w:hint="eastAsia" w:ascii="Times New Roman" w:hAnsi="Times New Roman" w:eastAsia="楷体" w:cs="Times New Roman"/>
                <w:b/>
                <w:bCs/>
                <w:color w:val="000000"/>
                <w:sz w:val="24"/>
                <w:szCs w:val="24"/>
                <w:vertAlign w:val="baseline"/>
                <w:lang w:val="en-US" w:eastAsia="zh-CN"/>
              </w:rPr>
              <w:t>条件</w:t>
            </w:r>
          </w:p>
        </w:tc>
        <w:tc>
          <w:tcPr>
            <w:tcW w:w="4064" w:type="dxa"/>
            <w:tcBorders>
              <w:top w:val="single" w:color="000000" w:sz="12" w:space="0"/>
              <w:left w:val="nil"/>
              <w:bottom w:val="single" w:color="000000" w:sz="4" w:space="0"/>
              <w:right w:val="nil"/>
            </w:tcBorders>
            <w:shd w:val="clear" w:color="auto" w:fill="FFFFFF"/>
          </w:tcPr>
          <w:p w14:paraId="665AE9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color w:val="000000"/>
                <w:sz w:val="24"/>
                <w:szCs w:val="24"/>
                <w:vertAlign w:val="baseline"/>
                <w:lang w:val="en-US" w:eastAsia="zh-CN"/>
              </w:rPr>
            </w:pPr>
            <w:r>
              <w:rPr>
                <w:rFonts w:hint="eastAsia" w:ascii="Times New Roman" w:hAnsi="Times New Roman" w:eastAsia="楷体" w:cs="Times New Roman"/>
                <w:b/>
                <w:bCs/>
                <w:color w:val="000000"/>
                <w:sz w:val="24"/>
                <w:szCs w:val="24"/>
                <w:vertAlign w:val="baseline"/>
                <w:lang w:val="en-US" w:eastAsia="zh-CN"/>
              </w:rPr>
              <w:t>说明</w:t>
            </w:r>
          </w:p>
        </w:tc>
      </w:tr>
      <w:tr w14:paraId="7FA37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single" w:color="000000" w:sz="4" w:space="0"/>
              <w:left w:val="nil"/>
              <w:bottom w:val="nil"/>
              <w:right w:val="nil"/>
            </w:tcBorders>
            <w:shd w:val="clear" w:color="auto" w:fill="FFFFFF"/>
          </w:tcPr>
          <w:p w14:paraId="04D5A9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color w:val="000000"/>
                <w:sz w:val="24"/>
                <w:szCs w:val="24"/>
                <w:vertAlign w:val="baseline"/>
                <w:lang w:val="en-US" w:eastAsia="zh-CN"/>
              </w:rPr>
            </w:pPr>
            <w:r>
              <w:rPr>
                <w:rFonts w:hint="eastAsia" w:ascii="Times New Roman" w:hAnsi="Times New Roman" w:eastAsia="楷体" w:cs="Times New Roman"/>
                <w:b w:val="0"/>
                <w:bCs w:val="0"/>
                <w:color w:val="000000"/>
                <w:sz w:val="24"/>
                <w:szCs w:val="24"/>
                <w:lang w:val="en-US" w:eastAsia="zh-CN"/>
              </w:rPr>
              <w:t>最低数据周期</w:t>
            </w:r>
          </w:p>
        </w:tc>
        <w:tc>
          <w:tcPr>
            <w:tcW w:w="4064" w:type="dxa"/>
            <w:tcBorders>
              <w:top w:val="single" w:color="000000" w:sz="4" w:space="0"/>
              <w:left w:val="nil"/>
              <w:bottom w:val="nil"/>
              <w:right w:val="nil"/>
            </w:tcBorders>
            <w:shd w:val="clear" w:color="auto" w:fill="FFFFFF"/>
          </w:tcPr>
          <w:p w14:paraId="3E4DD92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color w:val="000000"/>
                <w:sz w:val="24"/>
                <w:szCs w:val="24"/>
                <w:vertAlign w:val="baseline"/>
                <w:lang w:val="en-US" w:eastAsia="zh-CN"/>
              </w:rPr>
            </w:pPr>
            <w:r>
              <w:rPr>
                <w:rFonts w:hint="eastAsia" w:ascii="Times New Roman" w:hAnsi="Times New Roman" w:eastAsia="楷体" w:cs="Times New Roman"/>
                <w:b w:val="0"/>
                <w:bCs w:val="0"/>
                <w:color w:val="000000"/>
                <w:sz w:val="24"/>
                <w:szCs w:val="24"/>
                <w:lang w:val="en-US" w:eastAsia="zh-CN"/>
              </w:rPr>
              <w:t>≥ 14 天</w:t>
            </w:r>
          </w:p>
        </w:tc>
      </w:tr>
      <w:tr w14:paraId="1E04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5" w:type="dxa"/>
            <w:tcBorders>
              <w:top w:val="nil"/>
              <w:left w:val="nil"/>
              <w:bottom w:val="single" w:color="000000" w:sz="12" w:space="0"/>
              <w:right w:val="nil"/>
            </w:tcBorders>
            <w:shd w:val="clear" w:color="auto" w:fill="FFFFFF"/>
          </w:tcPr>
          <w:p w14:paraId="286482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楷体" w:cs="Times New Roman"/>
                <w:b w:val="0"/>
                <w:bCs w:val="0"/>
                <w:color w:val="000000"/>
                <w:sz w:val="24"/>
                <w:szCs w:val="24"/>
                <w:lang w:val="en-US" w:eastAsia="zh-CN"/>
              </w:rPr>
            </w:pPr>
            <w:r>
              <w:rPr>
                <w:rFonts w:hint="eastAsia" w:ascii="Times New Roman" w:hAnsi="Times New Roman" w:eastAsia="楷体" w:cs="Times New Roman"/>
                <w:b w:val="0"/>
                <w:bCs w:val="0"/>
                <w:color w:val="000000"/>
                <w:sz w:val="24"/>
                <w:szCs w:val="24"/>
                <w:lang w:val="en-US" w:eastAsia="zh-CN"/>
              </w:rPr>
              <w:t>模块覆盖</w:t>
            </w:r>
          </w:p>
        </w:tc>
        <w:tc>
          <w:tcPr>
            <w:tcW w:w="4064" w:type="dxa"/>
            <w:tcBorders>
              <w:top w:val="nil"/>
              <w:left w:val="nil"/>
              <w:bottom w:val="single" w:color="000000" w:sz="12" w:space="0"/>
              <w:right w:val="nil"/>
            </w:tcBorders>
            <w:shd w:val="clear" w:color="auto" w:fill="FFFFFF"/>
          </w:tcPr>
          <w:p w14:paraId="106FD00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color w:val="000000"/>
                <w:sz w:val="24"/>
                <w:szCs w:val="24"/>
                <w:lang w:val="en-US" w:eastAsia="zh-CN"/>
              </w:rPr>
            </w:pPr>
            <w:r>
              <w:rPr>
                <w:rFonts w:hint="eastAsia" w:ascii="Times New Roman" w:hAnsi="Times New Roman" w:eastAsia="楷体" w:cs="Times New Roman"/>
                <w:b w:val="0"/>
                <w:bCs w:val="0"/>
                <w:color w:val="000000"/>
                <w:sz w:val="24"/>
                <w:szCs w:val="24"/>
                <w:lang w:val="en-US" w:eastAsia="zh-CN"/>
              </w:rPr>
              <w:t>≥ 1 个一个三级目录（产品级）</w:t>
            </w:r>
          </w:p>
        </w:tc>
      </w:tr>
    </w:tbl>
    <w:p w14:paraId="14A47DD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如不满足条件：</w:t>
      </w:r>
    </w:p>
    <w:p w14:paraId="3465EA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提示</w:t>
      </w:r>
      <w:r>
        <w:rPr>
          <w:rFonts w:hint="eastAsia" w:ascii="Times New Roman" w:hAnsi="Times New Roman" w:eastAsia="楷体" w:cs="Times New Roman"/>
          <w:b w:val="0"/>
          <w:bCs w:val="0"/>
          <w:sz w:val="24"/>
          <w:szCs w:val="24"/>
          <w:lang w:val="en-US" w:eastAsia="zh-CN"/>
        </w:rPr>
        <w:t>【</w:t>
      </w:r>
      <w:r>
        <w:rPr>
          <w:rFonts w:hint="default" w:ascii="Times New Roman" w:hAnsi="Times New Roman" w:eastAsia="楷体" w:cs="Times New Roman"/>
          <w:b w:val="0"/>
          <w:bCs w:val="0"/>
          <w:sz w:val="24"/>
          <w:szCs w:val="24"/>
          <w:lang w:val="en-US" w:eastAsia="zh-CN"/>
        </w:rPr>
        <w:t>当前</w:t>
      </w:r>
      <w:r>
        <w:rPr>
          <w:rFonts w:hint="eastAsia" w:ascii="Times New Roman" w:hAnsi="Times New Roman" w:eastAsia="楷体" w:cs="Times New Roman"/>
          <w:b w:val="0"/>
          <w:bCs w:val="0"/>
          <w:sz w:val="24"/>
          <w:szCs w:val="24"/>
          <w:lang w:val="en-US" w:eastAsia="zh-CN"/>
        </w:rPr>
        <w:t>健康数据</w:t>
      </w:r>
      <w:r>
        <w:rPr>
          <w:rFonts w:hint="default" w:ascii="Times New Roman" w:hAnsi="Times New Roman" w:eastAsia="楷体" w:cs="Times New Roman"/>
          <w:b w:val="0"/>
          <w:bCs w:val="0"/>
          <w:sz w:val="24"/>
          <w:szCs w:val="24"/>
          <w:lang w:val="en-US" w:eastAsia="zh-CN"/>
        </w:rPr>
        <w:t>不足，暂无法形成完整状态总结</w:t>
      </w:r>
      <w:r>
        <w:rPr>
          <w:rFonts w:hint="eastAsia" w:ascii="Times New Roman" w:hAnsi="Times New Roman" w:eastAsia="楷体" w:cs="Times New Roman"/>
          <w:b w:val="0"/>
          <w:bCs w:val="0"/>
          <w:sz w:val="24"/>
          <w:szCs w:val="24"/>
          <w:lang w:val="en-US" w:eastAsia="zh-CN"/>
        </w:rPr>
        <w:t>】</w:t>
      </w:r>
    </w:p>
    <w:p w14:paraId="6C32FB8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2.</w:t>
      </w:r>
      <w:r>
        <w:rPr>
          <w:rFonts w:hint="default" w:ascii="Times New Roman" w:hAnsi="Times New Roman" w:eastAsia="楷体" w:cs="Times New Roman"/>
          <w:b/>
          <w:bCs/>
          <w:sz w:val="24"/>
          <w:szCs w:val="24"/>
          <w:lang w:val="en-US" w:eastAsia="zh-CN"/>
        </w:rPr>
        <w:t>生成频率</w:t>
      </w:r>
    </w:p>
    <w:p w14:paraId="198501C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 xml:space="preserve">默认：每 </w:t>
      </w:r>
      <w:r>
        <w:rPr>
          <w:rFonts w:hint="eastAsia" w:ascii="Times New Roman" w:hAnsi="Times New Roman" w:eastAsia="楷体" w:cs="Times New Roman"/>
          <w:b w:val="0"/>
          <w:bCs w:val="0"/>
          <w:sz w:val="24"/>
          <w:szCs w:val="24"/>
          <w:lang w:val="en-US" w:eastAsia="zh-CN"/>
        </w:rPr>
        <w:t>14</w:t>
      </w:r>
      <w:r>
        <w:rPr>
          <w:rFonts w:hint="default" w:ascii="Times New Roman" w:hAnsi="Times New Roman" w:eastAsia="楷体" w:cs="Times New Roman"/>
          <w:b w:val="0"/>
          <w:bCs w:val="0"/>
          <w:sz w:val="24"/>
          <w:szCs w:val="24"/>
          <w:lang w:val="en-US" w:eastAsia="zh-CN"/>
        </w:rPr>
        <w:t xml:space="preserve"> 天自动生成一次</w:t>
      </w:r>
    </w:p>
    <w:p w14:paraId="1F9BDEA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支持用户手动查看历史总结（</w:t>
      </w:r>
      <w:r>
        <w:rPr>
          <w:rFonts w:hint="eastAsia" w:ascii="Times New Roman" w:hAnsi="Times New Roman" w:eastAsia="楷体" w:cs="Times New Roman"/>
          <w:b w:val="0"/>
          <w:bCs w:val="0"/>
          <w:sz w:val="24"/>
          <w:szCs w:val="24"/>
          <w:lang w:val="en-US" w:eastAsia="zh-CN"/>
        </w:rPr>
        <w:t>14</w:t>
      </w:r>
      <w:r>
        <w:rPr>
          <w:rFonts w:hint="default" w:ascii="Times New Roman" w:hAnsi="Times New Roman" w:eastAsia="楷体" w:cs="Times New Roman"/>
          <w:b w:val="0"/>
          <w:bCs w:val="0"/>
          <w:sz w:val="24"/>
          <w:szCs w:val="24"/>
          <w:lang w:val="en-US" w:eastAsia="zh-CN"/>
        </w:rPr>
        <w:t xml:space="preserve"> / </w:t>
      </w:r>
      <w:r>
        <w:rPr>
          <w:rFonts w:hint="eastAsia" w:ascii="Times New Roman" w:hAnsi="Times New Roman" w:eastAsia="楷体" w:cs="Times New Roman"/>
          <w:b w:val="0"/>
          <w:bCs w:val="0"/>
          <w:sz w:val="24"/>
          <w:szCs w:val="24"/>
          <w:lang w:val="en-US" w:eastAsia="zh-CN"/>
        </w:rPr>
        <w:t>28</w:t>
      </w:r>
      <w:r>
        <w:rPr>
          <w:rFonts w:hint="default" w:ascii="Times New Roman" w:hAnsi="Times New Roman" w:eastAsia="楷体" w:cs="Times New Roman"/>
          <w:b w:val="0"/>
          <w:bCs w:val="0"/>
          <w:sz w:val="24"/>
          <w:szCs w:val="24"/>
          <w:lang w:val="en-US" w:eastAsia="zh-CN"/>
        </w:rPr>
        <w:t xml:space="preserve"> / </w:t>
      </w:r>
      <w:r>
        <w:rPr>
          <w:rFonts w:hint="eastAsia" w:ascii="Times New Roman" w:hAnsi="Times New Roman" w:eastAsia="楷体" w:cs="Times New Roman"/>
          <w:b w:val="0"/>
          <w:bCs w:val="0"/>
          <w:sz w:val="24"/>
          <w:szCs w:val="24"/>
          <w:lang w:val="en-US" w:eastAsia="zh-CN"/>
        </w:rPr>
        <w:t>42</w:t>
      </w:r>
      <w:r>
        <w:rPr>
          <w:rFonts w:hint="default" w:ascii="Times New Roman" w:hAnsi="Times New Roman" w:eastAsia="楷体" w:cs="Times New Roman"/>
          <w:b w:val="0"/>
          <w:bCs w:val="0"/>
          <w:sz w:val="24"/>
          <w:szCs w:val="24"/>
          <w:lang w:val="en-US" w:eastAsia="zh-CN"/>
        </w:rPr>
        <w:t xml:space="preserve"> 天）</w:t>
      </w:r>
    </w:p>
    <w:p w14:paraId="55D5637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三、功能结构总览</w:t>
      </w:r>
    </w:p>
    <w:p w14:paraId="5880AB36">
      <w:pPr>
        <w:spacing w:line="288" w:lineRule="auto"/>
        <w:ind w:firstLine="480" w:firstLineChars="200"/>
        <w:rPr>
          <w:rFonts w:ascii="Times New Roman" w:hAnsi="Times New Roman" w:eastAsia="楷体"/>
          <w:sz w:val="24"/>
        </w:rPr>
      </w:pPr>
      <w:r>
        <w:rPr>
          <w:rFonts w:hint="eastAsia" w:ascii="Times New Roman" w:hAnsi="Times New Roman" w:eastAsia="楷体"/>
          <w:sz w:val="24"/>
        </w:rPr>
        <w:t>模块一：近期健康总览</w:t>
      </w:r>
    </w:p>
    <w:p w14:paraId="3E859441">
      <w:pPr>
        <w:spacing w:line="288" w:lineRule="auto"/>
        <w:ind w:firstLine="480" w:firstLineChars="200"/>
        <w:rPr>
          <w:rFonts w:ascii="Times New Roman" w:hAnsi="Times New Roman" w:eastAsia="楷体"/>
          <w:sz w:val="24"/>
        </w:rPr>
      </w:pPr>
      <w:r>
        <w:rPr>
          <w:rFonts w:hint="eastAsia" w:ascii="Times New Roman" w:hAnsi="Times New Roman" w:eastAsia="楷体"/>
          <w:sz w:val="24"/>
        </w:rPr>
        <w:t xml:space="preserve">        1. </w:t>
      </w:r>
      <w:r>
        <w:rPr>
          <w:rFonts w:hint="eastAsia" w:ascii="Times New Roman" w:hAnsi="Times New Roman" w:eastAsia="楷体" w:cs="Times New Roman"/>
          <w:sz w:val="24"/>
        </w:rPr>
        <w:t>整体状态（状态提示）</w:t>
      </w:r>
    </w:p>
    <w:p w14:paraId="23774DD4">
      <w:pPr>
        <w:spacing w:line="288" w:lineRule="auto"/>
        <w:ind w:firstLine="480" w:firstLineChars="200"/>
        <w:rPr>
          <w:rFonts w:ascii="Times New Roman" w:hAnsi="Times New Roman" w:eastAsia="楷体"/>
          <w:sz w:val="24"/>
        </w:rPr>
      </w:pPr>
      <w:r>
        <w:rPr>
          <w:rFonts w:hint="eastAsia" w:ascii="Times New Roman" w:hAnsi="Times New Roman" w:eastAsia="楷体"/>
          <w:sz w:val="24"/>
        </w:rPr>
        <w:t xml:space="preserve">        2. 联动提示（是否进入抗衰管理模块）</w:t>
      </w:r>
    </w:p>
    <w:p w14:paraId="49F02012">
      <w:pPr>
        <w:spacing w:line="288" w:lineRule="auto"/>
        <w:ind w:firstLine="480" w:firstLineChars="200"/>
        <w:rPr>
          <w:rFonts w:ascii="Times New Roman" w:hAnsi="Times New Roman" w:eastAsia="楷体"/>
          <w:sz w:val="24"/>
        </w:rPr>
      </w:pPr>
      <w:r>
        <w:rPr>
          <w:rFonts w:hint="eastAsia" w:ascii="Times New Roman" w:hAnsi="Times New Roman" w:eastAsia="楷体"/>
          <w:sz w:val="24"/>
        </w:rPr>
        <w:t>模块二：关键变化与风险趋势</w:t>
      </w:r>
    </w:p>
    <w:p w14:paraId="1933DAD1">
      <w:pPr>
        <w:spacing w:line="360" w:lineRule="auto"/>
        <w:ind w:firstLine="480" w:firstLineChars="200"/>
        <w:rPr>
          <w:rFonts w:ascii="Times New Roman" w:hAnsi="Times New Roman" w:eastAsia="楷体"/>
          <w:sz w:val="24"/>
        </w:rPr>
      </w:pPr>
      <w:r>
        <w:rPr>
          <w:rFonts w:hint="eastAsia" w:ascii="Times New Roman" w:hAnsi="Times New Roman" w:eastAsia="楷体"/>
          <w:sz w:val="24"/>
        </w:rPr>
        <w:t>模块三：</w:t>
      </w:r>
      <w:r>
        <w:rPr>
          <w:rFonts w:hint="eastAsia" w:ascii="Times New Roman" w:hAnsi="Times New Roman" w:eastAsia="楷体"/>
          <w:sz w:val="24"/>
          <w:lang w:val="en-US" w:eastAsia="zh-CN"/>
        </w:rPr>
        <w:t>日常管理执行度</w:t>
      </w:r>
      <w:r>
        <w:rPr>
          <w:rFonts w:hint="eastAsia" w:ascii="Times New Roman" w:hAnsi="Times New Roman" w:eastAsia="楷体"/>
          <w:sz w:val="24"/>
        </w:rPr>
        <w:t>回顾</w:t>
      </w:r>
    </w:p>
    <w:p w14:paraId="22565F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sz w:val="24"/>
        </w:rPr>
        <w:t>模块四：检测项目周期性提示</w:t>
      </w:r>
    </w:p>
    <w:p w14:paraId="28DEC5D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bCs/>
          <w:sz w:val="24"/>
          <w:szCs w:val="24"/>
          <w:lang w:val="en-US" w:eastAsia="zh-CN"/>
        </w:rPr>
        <w:t>四、</w:t>
      </w:r>
      <w:r>
        <w:rPr>
          <w:rFonts w:hint="default" w:ascii="Times New Roman" w:hAnsi="Times New Roman" w:eastAsia="楷体" w:cs="Times New Roman"/>
          <w:b/>
          <w:bCs/>
          <w:sz w:val="24"/>
          <w:szCs w:val="24"/>
          <w:lang w:val="en-US" w:eastAsia="zh-CN"/>
        </w:rPr>
        <w:t>功能</w:t>
      </w:r>
      <w:r>
        <w:rPr>
          <w:rFonts w:hint="eastAsia" w:ascii="Times New Roman" w:hAnsi="Times New Roman" w:eastAsia="楷体" w:cs="Times New Roman"/>
          <w:b/>
          <w:bCs/>
          <w:sz w:val="24"/>
          <w:szCs w:val="24"/>
          <w:lang w:val="en-US" w:eastAsia="zh-CN"/>
        </w:rPr>
        <w:t>具体说明</w:t>
      </w:r>
    </w:p>
    <w:p w14:paraId="49D2130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bCs/>
          <w:sz w:val="24"/>
          <w:szCs w:val="24"/>
          <w:lang w:val="en-US" w:eastAsia="zh-CN"/>
        </w:rPr>
        <w:t>（一）</w:t>
      </w:r>
      <w:r>
        <w:rPr>
          <w:rFonts w:hint="default" w:ascii="Times New Roman" w:hAnsi="Times New Roman" w:eastAsia="楷体" w:cs="Times New Roman"/>
          <w:b/>
          <w:bCs/>
          <w:sz w:val="24"/>
          <w:szCs w:val="24"/>
          <w:lang w:val="en-US" w:eastAsia="zh-CN"/>
        </w:rPr>
        <w:t>近期健康总览</w:t>
      </w:r>
    </w:p>
    <w:p w14:paraId="6B0D08B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1.功能定位：</w:t>
      </w:r>
    </w:p>
    <w:p w14:paraId="43AF98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sz w:val="24"/>
        </w:rPr>
        <w:t>对用户本周期内所有已触发的预防干预风险评估结果进行归纳，形成对当前风险状态的总判断。并且</w:t>
      </w:r>
      <w:r>
        <w:rPr>
          <w:rFonts w:ascii="Times New Roman" w:hAnsi="Times New Roman" w:eastAsia="楷体" w:cs="Times New Roman"/>
          <w:sz w:val="24"/>
        </w:rPr>
        <w:t>将</w:t>
      </w:r>
      <w:r>
        <w:rPr>
          <w:rFonts w:hint="eastAsia" w:ascii="Times New Roman" w:hAnsi="Times New Roman" w:eastAsia="楷体" w:cs="Times New Roman"/>
          <w:sz w:val="24"/>
        </w:rPr>
        <w:t>预防干预</w:t>
      </w:r>
      <w:r>
        <w:rPr>
          <w:rFonts w:ascii="Times New Roman" w:hAnsi="Times New Roman" w:eastAsia="楷体" w:cs="Times New Roman"/>
          <w:sz w:val="24"/>
        </w:rPr>
        <w:t>复盘中识别出的需关注维度，同步回流至</w:t>
      </w:r>
      <w:r>
        <w:rPr>
          <w:rFonts w:hint="eastAsia" w:ascii="Times New Roman" w:hAnsi="Times New Roman" w:eastAsia="楷体" w:cs="Times New Roman"/>
          <w:sz w:val="24"/>
        </w:rPr>
        <w:t>抗衰老</w:t>
      </w:r>
      <w:r>
        <w:rPr>
          <w:rFonts w:ascii="Times New Roman" w:hAnsi="Times New Roman" w:eastAsia="楷体" w:cs="Times New Roman"/>
          <w:sz w:val="24"/>
        </w:rPr>
        <w:t>与家庭健康管理体系，形成联动。</w:t>
      </w:r>
    </w:p>
    <w:p w14:paraId="1AEE705A">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模块结构</w:t>
      </w:r>
    </w:p>
    <w:p w14:paraId="3AA25305">
      <w:pPr>
        <w:spacing w:line="288" w:lineRule="auto"/>
        <w:ind w:firstLine="480" w:firstLineChars="200"/>
        <w:rPr>
          <w:rFonts w:ascii="Times New Roman" w:hAnsi="Times New Roman" w:eastAsia="楷体"/>
          <w:sz w:val="24"/>
        </w:rPr>
      </w:pPr>
      <w:r>
        <w:rPr>
          <w:rFonts w:hint="eastAsia" w:ascii="Times New Roman" w:hAnsi="Times New Roman" w:eastAsia="楷体"/>
          <w:sz w:val="24"/>
        </w:rPr>
        <w:t>（1）</w:t>
      </w:r>
      <w:r>
        <w:rPr>
          <w:rFonts w:hint="eastAsia" w:ascii="Times New Roman" w:hAnsi="Times New Roman" w:eastAsia="楷体" w:cs="Times New Roman"/>
          <w:sz w:val="24"/>
        </w:rPr>
        <w:t>整体状态（状态提示）</w:t>
      </w:r>
    </w:p>
    <w:p w14:paraId="588BC786">
      <w:pPr>
        <w:spacing w:line="288" w:lineRule="auto"/>
        <w:ind w:firstLine="480" w:firstLineChars="200"/>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sz w:val="24"/>
        </w:rPr>
        <w:t>（2）联动提示</w:t>
      </w:r>
    </w:p>
    <w:p w14:paraId="780FF0C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3.整体状态（状态提示）输出内容：</w:t>
      </w:r>
    </w:p>
    <w:p w14:paraId="713229E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 xml:space="preserve">A. </w:t>
      </w:r>
      <w:r>
        <w:rPr>
          <w:rFonts w:hint="default" w:ascii="Times New Roman" w:hAnsi="Times New Roman" w:eastAsia="楷体" w:cs="Times New Roman"/>
          <w:b/>
          <w:bCs/>
          <w:sz w:val="24"/>
          <w:szCs w:val="24"/>
          <w:lang w:val="en-US" w:eastAsia="zh-CN"/>
        </w:rPr>
        <w:t>整体状态</w:t>
      </w:r>
      <w:r>
        <w:rPr>
          <w:rFonts w:hint="eastAsia" w:ascii="Times New Roman" w:hAnsi="Times New Roman" w:eastAsia="楷体" w:cs="Times New Roman"/>
          <w:b/>
          <w:bCs/>
          <w:sz w:val="24"/>
          <w:szCs w:val="24"/>
          <w:lang w:val="en-US" w:eastAsia="zh-CN"/>
        </w:rPr>
        <w:t>——</w:t>
      </w:r>
      <w:r>
        <w:rPr>
          <w:rFonts w:hint="default" w:ascii="Times New Roman" w:hAnsi="Times New Roman" w:eastAsia="楷体" w:cs="Times New Roman"/>
          <w:b/>
          <w:bCs/>
          <w:sz w:val="24"/>
          <w:szCs w:val="24"/>
          <w:lang w:val="en-US" w:eastAsia="zh-CN"/>
        </w:rPr>
        <w:t>整体状态标签（仅选 1 个）</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4"/>
      </w:tblGrid>
      <w:tr w14:paraId="0FC19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4" w:type="dxa"/>
            <w:tcBorders>
              <w:top w:val="single" w:color="000000" w:sz="12" w:space="0"/>
              <w:left w:val="nil"/>
              <w:bottom w:val="single" w:color="000000" w:sz="4" w:space="0"/>
              <w:right w:val="nil"/>
              <w:tl2br w:val="nil"/>
            </w:tcBorders>
            <w:shd w:val="clear" w:color="auto" w:fill="FFFFFF"/>
          </w:tcPr>
          <w:p w14:paraId="4BFD171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val="0"/>
                <w:color w:val="000000"/>
                <w:sz w:val="24"/>
                <w:szCs w:val="24"/>
                <w:vertAlign w:val="baseline"/>
                <w:lang w:val="en-US" w:eastAsia="zh-CN"/>
              </w:rPr>
            </w:pPr>
            <w:r>
              <w:rPr>
                <w:rFonts w:hint="eastAsia" w:ascii="Times New Roman" w:hAnsi="Times New Roman" w:eastAsia="楷体" w:cs="Times New Roman"/>
                <w:b/>
                <w:bCs w:val="0"/>
                <w:color w:val="000000"/>
                <w:sz w:val="24"/>
                <w:szCs w:val="24"/>
                <w:vertAlign w:val="baseline"/>
                <w:lang w:val="en-US" w:eastAsia="zh-CN"/>
              </w:rPr>
              <w:t>状态标签</w:t>
            </w:r>
          </w:p>
        </w:tc>
      </w:tr>
      <w:tr w14:paraId="1E618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4" w:type="dxa"/>
            <w:tcBorders>
              <w:top w:val="single" w:color="000000" w:sz="4" w:space="0"/>
              <w:left w:val="nil"/>
              <w:bottom w:val="nil"/>
              <w:right w:val="nil"/>
            </w:tcBorders>
            <w:shd w:val="clear" w:color="auto" w:fill="FFFFFF"/>
          </w:tcPr>
          <w:p w14:paraId="1347596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color w:val="000000"/>
                <w:sz w:val="24"/>
                <w:szCs w:val="24"/>
                <w:vertAlign w:val="baseline"/>
                <w:lang w:val="en-US" w:eastAsia="zh-CN"/>
              </w:rPr>
            </w:pPr>
            <w:r>
              <w:rPr>
                <w:rFonts w:hint="eastAsia" w:ascii="Times New Roman" w:hAnsi="Times New Roman" w:eastAsia="楷体"/>
                <w:sz w:val="24"/>
              </w:rPr>
              <w:t>整体稳定</w:t>
            </w:r>
          </w:p>
        </w:tc>
      </w:tr>
      <w:tr w14:paraId="234BD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4" w:type="dxa"/>
            <w:tcBorders>
              <w:top w:val="nil"/>
              <w:left w:val="nil"/>
              <w:bottom w:val="nil"/>
              <w:right w:val="nil"/>
            </w:tcBorders>
            <w:shd w:val="clear" w:color="auto" w:fill="FFFFFF"/>
          </w:tcPr>
          <w:p w14:paraId="21E8667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color w:val="000000"/>
                <w:sz w:val="24"/>
                <w:szCs w:val="24"/>
                <w:vertAlign w:val="baseline"/>
                <w:lang w:val="en-US" w:eastAsia="zh-CN"/>
              </w:rPr>
            </w:pPr>
            <w:r>
              <w:rPr>
                <w:rFonts w:hint="eastAsia" w:ascii="Times New Roman" w:hAnsi="Times New Roman" w:eastAsia="楷体"/>
                <w:sz w:val="24"/>
              </w:rPr>
              <w:t>出现关注点</w:t>
            </w:r>
          </w:p>
        </w:tc>
      </w:tr>
      <w:tr w14:paraId="0C16E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4" w:type="dxa"/>
            <w:tcBorders>
              <w:top w:val="nil"/>
              <w:left w:val="nil"/>
              <w:bottom w:val="single" w:color="000000" w:sz="12" w:space="0"/>
              <w:right w:val="nil"/>
            </w:tcBorders>
            <w:shd w:val="clear" w:color="auto" w:fill="FFFFFF"/>
          </w:tcPr>
          <w:p w14:paraId="3C4C19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color w:val="000000"/>
                <w:sz w:val="24"/>
                <w:szCs w:val="24"/>
                <w:vertAlign w:val="baseline"/>
                <w:lang w:val="en-US" w:eastAsia="zh-CN"/>
              </w:rPr>
            </w:pPr>
            <w:r>
              <w:rPr>
                <w:rFonts w:hint="eastAsia" w:ascii="Times New Roman" w:hAnsi="Times New Roman" w:eastAsia="楷体"/>
                <w:sz w:val="24"/>
              </w:rPr>
              <w:t>整体需重视</w:t>
            </w:r>
          </w:p>
        </w:tc>
      </w:tr>
    </w:tbl>
    <w:p w14:paraId="73677D54">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状态解释语（用户可见含义）</w:t>
      </w:r>
    </w:p>
    <w:p w14:paraId="4466C1AA">
      <w:pPr>
        <w:spacing w:line="288" w:lineRule="auto"/>
        <w:ind w:firstLine="480" w:firstLineChars="200"/>
        <w:rPr>
          <w:rFonts w:ascii="Times New Roman" w:hAnsi="Times New Roman" w:eastAsia="楷体"/>
          <w:sz w:val="24"/>
        </w:rPr>
      </w:pPr>
      <w:r>
        <w:rPr>
          <w:rFonts w:hint="eastAsia" w:ascii="Times New Roman" w:hAnsi="Times New Roman" w:eastAsia="楷体"/>
          <w:sz w:val="24"/>
        </w:rPr>
        <w:t>整体稳定→从本周期已完成的健康评估模块来看，各模块结果整体较为平衡，暂未呈现需要重点关注的集中信号。</w:t>
      </w:r>
    </w:p>
    <w:p w14:paraId="3EE10B64">
      <w:pPr>
        <w:spacing w:line="288" w:lineRule="auto"/>
        <w:ind w:firstLine="480" w:firstLineChars="200"/>
        <w:rPr>
          <w:rFonts w:ascii="Times New Roman" w:hAnsi="Times New Roman" w:eastAsia="楷体"/>
          <w:sz w:val="24"/>
        </w:rPr>
      </w:pPr>
      <w:r>
        <w:rPr>
          <w:rFonts w:hint="eastAsia" w:ascii="Times New Roman" w:hAnsi="Times New Roman" w:eastAsia="楷体"/>
          <w:sz w:val="24"/>
        </w:rPr>
        <w:t>出现关注点→在本周期的健康评估中，部分模块结果提示存在需要关注的情况，建议结合对应模块的具体分析进行查看。</w:t>
      </w:r>
    </w:p>
    <w:p w14:paraId="1552E2E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楷体"/>
          <w:sz w:val="24"/>
        </w:rPr>
      </w:pPr>
      <w:r>
        <w:rPr>
          <w:rFonts w:hint="eastAsia" w:ascii="Times New Roman" w:hAnsi="Times New Roman" w:eastAsia="楷体"/>
          <w:sz w:val="24"/>
        </w:rPr>
        <w:t>整体需重视→当前整体状态提示多个系统同时存在需要关注的问题，建议进行系统性管理与持续跟踪。</w:t>
      </w:r>
    </w:p>
    <w:p w14:paraId="1A545F9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b/>
          <w:bCs/>
          <w:sz w:val="24"/>
        </w:rPr>
        <w:t>显示风险信号个数→来自二级标题结果判定</w:t>
      </w:r>
    </w:p>
    <w:p w14:paraId="4F3E78BD">
      <w:pPr>
        <w:spacing w:line="288" w:lineRule="auto"/>
        <w:ind w:firstLine="480" w:firstLineChars="200"/>
        <w:rPr>
          <w:rFonts w:ascii="Times New Roman" w:hAnsi="Times New Roman" w:eastAsia="楷体"/>
          <w:sz w:val="24"/>
        </w:rPr>
      </w:pPr>
      <w:r>
        <w:rPr>
          <w:rFonts w:ascii="Times New Roman" w:hAnsi="Times New Roman" w:eastAsia="楷体"/>
          <w:sz w:val="24"/>
        </w:rPr>
        <w:t>多风险信号</w:t>
      </w:r>
      <w:r>
        <w:rPr>
          <w:rFonts w:hint="eastAsia" w:ascii="Times New Roman" w:hAnsi="Times New Roman" w:eastAsia="楷体"/>
          <w:sz w:val="24"/>
        </w:rPr>
        <w:t>并存个数</w:t>
      </w:r>
    </w:p>
    <w:p w14:paraId="58193383">
      <w:pPr>
        <w:spacing w:line="288" w:lineRule="auto"/>
        <w:ind w:firstLine="480" w:firstLineChars="200"/>
        <w:rPr>
          <w:rFonts w:ascii="Times New Roman" w:hAnsi="Times New Roman" w:eastAsia="楷体"/>
          <w:sz w:val="24"/>
        </w:rPr>
      </w:pPr>
      <w:r>
        <w:rPr>
          <w:rFonts w:ascii="Times New Roman" w:hAnsi="Times New Roman" w:eastAsia="楷体"/>
          <w:sz w:val="24"/>
        </w:rPr>
        <w:t>存在风险信号</w:t>
      </w:r>
      <w:r>
        <w:rPr>
          <w:rFonts w:hint="eastAsia" w:ascii="Times New Roman" w:hAnsi="Times New Roman" w:eastAsia="楷体"/>
          <w:sz w:val="24"/>
        </w:rPr>
        <w:t>个数</w:t>
      </w:r>
    </w:p>
    <w:p w14:paraId="760494F5">
      <w:pPr>
        <w:spacing w:line="288" w:lineRule="auto"/>
        <w:ind w:firstLine="480" w:firstLineChars="200"/>
        <w:rPr>
          <w:rFonts w:ascii="Times New Roman" w:hAnsi="Times New Roman" w:eastAsia="楷体"/>
          <w:sz w:val="24"/>
        </w:rPr>
      </w:pPr>
      <w:r>
        <w:rPr>
          <w:rFonts w:ascii="Times New Roman" w:hAnsi="Times New Roman" w:eastAsia="楷体"/>
          <w:sz w:val="24"/>
        </w:rPr>
        <w:t>未见明显风险信号</w:t>
      </w:r>
      <w:r>
        <w:rPr>
          <w:rFonts w:hint="eastAsia" w:ascii="Times New Roman" w:hAnsi="Times New Roman" w:eastAsia="楷体"/>
          <w:sz w:val="24"/>
        </w:rPr>
        <w:t>个数</w:t>
      </w:r>
    </w:p>
    <w:p w14:paraId="7A3CF0D5">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sz w:val="24"/>
        </w:rPr>
        <w:t>例：</w:t>
      </w:r>
      <w:r>
        <w:rPr>
          <w:rFonts w:ascii="Times New Roman" w:hAnsi="Times New Roman" w:eastAsia="楷体"/>
          <w:sz w:val="24"/>
        </w:rPr>
        <w:t>多风险信号并存</w:t>
      </w:r>
      <w:r>
        <w:rPr>
          <w:rFonts w:hint="eastAsia" w:ascii="Times New Roman" w:hAnsi="Times New Roman" w:eastAsia="楷体"/>
          <w:sz w:val="24"/>
        </w:rPr>
        <w:t>2个，</w:t>
      </w:r>
      <w:r>
        <w:rPr>
          <w:rFonts w:ascii="Times New Roman" w:hAnsi="Times New Roman" w:eastAsia="楷体"/>
          <w:sz w:val="24"/>
        </w:rPr>
        <w:t>存在风险信号</w:t>
      </w:r>
      <w:r>
        <w:rPr>
          <w:rFonts w:hint="eastAsia" w:ascii="Times New Roman" w:hAnsi="Times New Roman" w:eastAsia="楷体"/>
          <w:sz w:val="24"/>
        </w:rPr>
        <w:t>2个，</w:t>
      </w:r>
      <w:r>
        <w:rPr>
          <w:rFonts w:ascii="Times New Roman" w:hAnsi="Times New Roman" w:eastAsia="楷体"/>
          <w:sz w:val="24"/>
        </w:rPr>
        <w:t>未见明显风险信号</w:t>
      </w:r>
      <w:r>
        <w:rPr>
          <w:rFonts w:hint="eastAsia" w:ascii="Times New Roman" w:hAnsi="Times New Roman" w:eastAsia="楷体"/>
          <w:sz w:val="24"/>
        </w:rPr>
        <w:t>0个</w:t>
      </w:r>
    </w:p>
    <w:p w14:paraId="3ADA72C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状态来源（依据用户使用评估模型的归属二级目录）</w:t>
      </w:r>
    </w:p>
    <w:p w14:paraId="350AD97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rPr>
        <w:t>整体状态（状态提示）</w:t>
      </w:r>
      <w:r>
        <w:rPr>
          <w:rFonts w:hint="default" w:ascii="Times New Roman" w:hAnsi="Times New Roman" w:eastAsia="楷体" w:cs="Times New Roman"/>
          <w:b/>
          <w:bCs/>
          <w:sz w:val="24"/>
          <w:szCs w:val="24"/>
          <w:lang w:val="en-US" w:eastAsia="zh-CN"/>
        </w:rPr>
        <w:t>判定逻辑</w:t>
      </w:r>
    </w:p>
    <w:p w14:paraId="1A571E53">
      <w:pPr>
        <w:spacing w:line="288" w:lineRule="auto"/>
        <w:rPr>
          <w:rFonts w:ascii="Times New Roman" w:hAnsi="Times New Roman" w:eastAsia="楷体"/>
          <w:sz w:val="24"/>
        </w:rPr>
      </w:pPr>
      <w:r>
        <w:rPr>
          <w:rFonts w:hint="eastAsia" w:ascii="楷体" w:hAnsi="楷体" w:eastAsia="楷体" w:cs="楷体"/>
          <w:sz w:val="24"/>
        </w:rPr>
        <w:t>①</w:t>
      </w:r>
      <w:r>
        <w:rPr>
          <w:rFonts w:hint="eastAsia" w:ascii="Times New Roman" w:hAnsi="Times New Roman" w:eastAsia="楷体"/>
          <w:sz w:val="24"/>
          <w:lang w:val="en-US" w:eastAsia="zh-CN"/>
        </w:rPr>
        <w:t xml:space="preserve"> </w:t>
      </w:r>
      <w:r>
        <w:rPr>
          <w:rFonts w:hint="eastAsia" w:ascii="Times New Roman" w:hAnsi="Times New Roman" w:eastAsia="楷体"/>
          <w:sz w:val="24"/>
        </w:rPr>
        <w:t>二级标题结果判定</w:t>
      </w:r>
    </w:p>
    <w:p w14:paraId="0EC7ED8F">
      <w:pPr>
        <w:spacing w:line="288" w:lineRule="auto"/>
        <w:ind w:firstLine="480" w:firstLineChars="200"/>
        <w:rPr>
          <w:rFonts w:ascii="Times New Roman" w:hAnsi="Times New Roman" w:eastAsia="楷体"/>
          <w:sz w:val="24"/>
        </w:rPr>
      </w:pPr>
      <w:r>
        <w:rPr>
          <w:rFonts w:hint="eastAsia" w:ascii="Times New Roman" w:hAnsi="Times New Roman" w:eastAsia="楷体"/>
          <w:sz w:val="24"/>
          <w:lang w:val="en-US" w:eastAsia="zh-CN"/>
        </w:rPr>
        <w:t xml:space="preserve">a. </w:t>
      </w:r>
      <w:r>
        <w:rPr>
          <w:rFonts w:hint="eastAsia" w:ascii="Times New Roman" w:hAnsi="Times New Roman" w:eastAsia="楷体"/>
          <w:sz w:val="24"/>
        </w:rPr>
        <w:t>分类</w:t>
      </w:r>
    </w:p>
    <w:p w14:paraId="208E75B7">
      <w:pPr>
        <w:spacing w:line="288" w:lineRule="auto"/>
        <w:ind w:firstLine="480" w:firstLineChars="200"/>
        <w:rPr>
          <w:rFonts w:ascii="Times New Roman" w:hAnsi="Times New Roman" w:eastAsia="楷体"/>
          <w:sz w:val="24"/>
        </w:rPr>
      </w:pPr>
      <w:r>
        <w:rPr>
          <w:rFonts w:hint="eastAsia" w:ascii="Times New Roman" w:hAnsi="Times New Roman" w:eastAsia="楷体"/>
          <w:sz w:val="24"/>
        </w:rPr>
        <w:t>A</w:t>
      </w:r>
      <w:r>
        <w:rPr>
          <w:rFonts w:hint="eastAsia" w:ascii="Times New Roman" w:hAnsi="Times New Roman" w:eastAsia="楷体"/>
          <w:sz w:val="24"/>
          <w:lang w:val="en-US" w:eastAsia="zh-CN"/>
        </w:rPr>
        <w:t>=</w:t>
      </w:r>
      <w:r>
        <w:rPr>
          <w:rFonts w:hint="eastAsia" w:ascii="Times New Roman" w:hAnsi="Times New Roman" w:eastAsia="楷体"/>
          <w:sz w:val="24"/>
        </w:rPr>
        <w:t>最低等级/正常类：该产品所有等级里“最轻”的那一档</w:t>
      </w:r>
    </w:p>
    <w:p w14:paraId="2E27053C">
      <w:pPr>
        <w:spacing w:line="288" w:lineRule="auto"/>
        <w:ind w:firstLine="480" w:firstLineChars="200"/>
        <w:rPr>
          <w:rFonts w:ascii="Times New Roman" w:hAnsi="Times New Roman" w:eastAsia="楷体"/>
          <w:sz w:val="24"/>
        </w:rPr>
      </w:pPr>
      <w:r>
        <w:rPr>
          <w:rFonts w:hint="eastAsia" w:ascii="Times New Roman" w:hAnsi="Times New Roman" w:eastAsia="楷体"/>
          <w:sz w:val="24"/>
        </w:rPr>
        <w:t>（常见：正常/低/阴性/无风险/未见异常）</w:t>
      </w:r>
    </w:p>
    <w:p w14:paraId="46F58D5A">
      <w:pPr>
        <w:spacing w:line="288" w:lineRule="auto"/>
        <w:ind w:firstLine="480" w:firstLineChars="200"/>
        <w:rPr>
          <w:rFonts w:ascii="Times New Roman" w:hAnsi="Times New Roman" w:eastAsia="楷体"/>
          <w:sz w:val="24"/>
        </w:rPr>
      </w:pPr>
      <w:r>
        <w:rPr>
          <w:rFonts w:hint="eastAsia" w:ascii="Times New Roman" w:hAnsi="Times New Roman" w:eastAsia="楷体"/>
          <w:sz w:val="24"/>
        </w:rPr>
        <w:t>B</w:t>
      </w:r>
      <w:r>
        <w:rPr>
          <w:rFonts w:hint="eastAsia" w:ascii="Times New Roman" w:hAnsi="Times New Roman" w:eastAsia="楷体"/>
          <w:sz w:val="24"/>
          <w:lang w:val="en-US" w:eastAsia="zh-CN"/>
        </w:rPr>
        <w:t>=</w:t>
      </w:r>
      <w:r>
        <w:rPr>
          <w:rFonts w:hint="eastAsia" w:ascii="Times New Roman" w:hAnsi="Times New Roman" w:eastAsia="楷体"/>
          <w:sz w:val="24"/>
        </w:rPr>
        <w:t>非最低等级/风险类：除 A 之外的任何输出</w:t>
      </w:r>
    </w:p>
    <w:p w14:paraId="60235D61">
      <w:pPr>
        <w:spacing w:line="288" w:lineRule="auto"/>
        <w:ind w:firstLine="480" w:firstLineChars="200"/>
        <w:rPr>
          <w:rFonts w:ascii="Times New Roman" w:hAnsi="Times New Roman" w:eastAsia="楷体"/>
          <w:sz w:val="24"/>
        </w:rPr>
      </w:pPr>
      <w:r>
        <w:rPr>
          <w:rFonts w:hint="eastAsia" w:ascii="Times New Roman" w:hAnsi="Times New Roman" w:eastAsia="楷体"/>
          <w:sz w:val="24"/>
        </w:rPr>
        <w:t>（包括：中/高/极高/异常/阳性/需干预/边缘/可疑/提示异常等）</w:t>
      </w:r>
    </w:p>
    <w:p w14:paraId="750C621F">
      <w:pPr>
        <w:spacing w:line="288" w:lineRule="auto"/>
        <w:ind w:firstLine="480" w:firstLineChars="200"/>
        <w:rPr>
          <w:rFonts w:ascii="Times New Roman" w:hAnsi="Times New Roman" w:eastAsia="楷体"/>
          <w:sz w:val="24"/>
        </w:rPr>
      </w:pPr>
      <w:r>
        <w:rPr>
          <w:rFonts w:hint="eastAsia" w:ascii="Times New Roman" w:hAnsi="Times New Roman" w:eastAsia="楷体"/>
          <w:sz w:val="24"/>
          <w:lang w:val="en-US" w:eastAsia="zh-CN"/>
        </w:rPr>
        <w:t xml:space="preserve">b. </w:t>
      </w:r>
      <w:r>
        <w:rPr>
          <w:rFonts w:hint="eastAsia" w:ascii="Times New Roman" w:hAnsi="Times New Roman" w:eastAsia="楷体"/>
          <w:sz w:val="24"/>
        </w:rPr>
        <w:t>判定规则</w:t>
      </w:r>
    </w:p>
    <w:p w14:paraId="30F2692C">
      <w:pPr>
        <w:spacing w:line="288" w:lineRule="auto"/>
        <w:ind w:firstLine="480" w:firstLineChars="200"/>
        <w:rPr>
          <w:rFonts w:ascii="Times New Roman" w:hAnsi="Times New Roman" w:eastAsia="楷体"/>
          <w:sz w:val="24"/>
        </w:rPr>
      </w:pPr>
      <w:r>
        <w:rPr>
          <w:rFonts w:ascii="Times New Roman" w:hAnsi="Times New Roman" w:eastAsia="楷体"/>
          <w:sz w:val="24"/>
        </w:rPr>
        <w:t>对每个「</w:t>
      </w:r>
      <w:r>
        <w:rPr>
          <w:rFonts w:hint="eastAsia" w:ascii="Times New Roman" w:hAnsi="Times New Roman" w:eastAsia="楷体"/>
          <w:sz w:val="24"/>
        </w:rPr>
        <w:t>二级标题</w:t>
      </w:r>
      <w:r>
        <w:rPr>
          <w:rFonts w:ascii="Times New Roman" w:hAnsi="Times New Roman" w:eastAsia="楷体"/>
          <w:sz w:val="24"/>
        </w:rPr>
        <w:t>」：</w:t>
      </w:r>
    </w:p>
    <w:p w14:paraId="048A1ABD">
      <w:pPr>
        <w:spacing w:line="288" w:lineRule="auto"/>
        <w:ind w:firstLine="480" w:firstLineChars="200"/>
        <w:rPr>
          <w:rFonts w:ascii="Times New Roman" w:hAnsi="Times New Roman" w:eastAsia="楷体"/>
          <w:sz w:val="24"/>
        </w:rPr>
      </w:pPr>
      <w:r>
        <w:rPr>
          <w:rFonts w:ascii="Times New Roman" w:hAnsi="Times New Roman" w:eastAsia="楷体"/>
          <w:sz w:val="24"/>
        </w:rPr>
        <w:t>若该</w:t>
      </w:r>
      <w:r>
        <w:rPr>
          <w:rFonts w:hint="eastAsia" w:ascii="Times New Roman" w:hAnsi="Times New Roman" w:eastAsia="楷体"/>
          <w:sz w:val="24"/>
        </w:rPr>
        <w:t>二级标题</w:t>
      </w:r>
      <w:r>
        <w:rPr>
          <w:rFonts w:ascii="Times New Roman" w:hAnsi="Times New Roman" w:eastAsia="楷体"/>
          <w:sz w:val="24"/>
        </w:rPr>
        <w:t>本周期没有任何三级产品触发</w:t>
      </w:r>
    </w:p>
    <w:p w14:paraId="2FE3A6CF">
      <w:pPr>
        <w:spacing w:line="288" w:lineRule="auto"/>
        <w:ind w:firstLine="480" w:firstLineChars="200"/>
        <w:rPr>
          <w:rFonts w:ascii="Times New Roman" w:hAnsi="Times New Roman" w:eastAsia="楷体"/>
          <w:sz w:val="24"/>
        </w:rPr>
      </w:pPr>
      <w:r>
        <w:rPr>
          <w:rFonts w:ascii="Times New Roman" w:hAnsi="Times New Roman" w:eastAsia="楷体"/>
          <w:sz w:val="24"/>
        </w:rPr>
        <w:t xml:space="preserve">→ </w:t>
      </w:r>
      <w:r>
        <w:rPr>
          <w:rFonts w:hint="eastAsia" w:ascii="Times New Roman" w:hAnsi="Times New Roman" w:eastAsia="楷体"/>
          <w:sz w:val="24"/>
        </w:rPr>
        <w:t>二级标题</w:t>
      </w:r>
      <w:r>
        <w:rPr>
          <w:rFonts w:ascii="Times New Roman" w:hAnsi="Times New Roman" w:eastAsia="楷体"/>
          <w:sz w:val="24"/>
        </w:rPr>
        <w:t>状态 = 缺数据</w:t>
      </w:r>
    </w:p>
    <w:p w14:paraId="5C757FAC">
      <w:pPr>
        <w:spacing w:line="288" w:lineRule="auto"/>
        <w:ind w:firstLine="480" w:firstLineChars="200"/>
        <w:rPr>
          <w:rFonts w:ascii="Times New Roman" w:hAnsi="Times New Roman" w:eastAsia="楷体"/>
          <w:sz w:val="24"/>
        </w:rPr>
      </w:pPr>
      <w:r>
        <w:rPr>
          <w:rFonts w:hint="eastAsia" w:ascii="Times New Roman" w:hAnsi="Times New Roman" w:eastAsia="楷体"/>
          <w:sz w:val="24"/>
        </w:rPr>
        <w:t>T = 本周期被触发的产品数量</w:t>
      </w:r>
    </w:p>
    <w:p w14:paraId="076B1C93">
      <w:pPr>
        <w:spacing w:line="288" w:lineRule="auto"/>
        <w:ind w:firstLine="480" w:firstLineChars="200"/>
        <w:rPr>
          <w:rFonts w:ascii="Times New Roman" w:hAnsi="Times New Roman" w:eastAsia="楷体"/>
          <w:sz w:val="24"/>
        </w:rPr>
      </w:pPr>
      <w:r>
        <w:rPr>
          <w:rFonts w:hint="eastAsia" w:ascii="Times New Roman" w:hAnsi="Times New Roman" w:eastAsia="楷体"/>
          <w:sz w:val="24"/>
        </w:rPr>
        <w:t>R = 本周期“有风险信号”的产品数量</w:t>
      </w:r>
    </w:p>
    <w:p w14:paraId="4801A3CA">
      <w:pPr>
        <w:spacing w:line="288" w:lineRule="auto"/>
        <w:ind w:firstLine="480" w:firstLineChars="200"/>
        <w:rPr>
          <w:rFonts w:ascii="Times New Roman" w:hAnsi="Times New Roman" w:eastAsia="楷体"/>
          <w:sz w:val="24"/>
        </w:rPr>
      </w:pPr>
      <w:r>
        <w:rPr>
          <w:rFonts w:hint="eastAsia" w:ascii="Times New Roman" w:hAnsi="Times New Roman" w:eastAsia="楷体"/>
          <w:sz w:val="24"/>
          <w:lang w:val="en-US" w:eastAsia="zh-CN"/>
        </w:rPr>
        <w:t xml:space="preserve">c. </w:t>
      </w:r>
      <w:r>
        <w:rPr>
          <w:rFonts w:hint="eastAsia" w:ascii="Times New Roman" w:hAnsi="Times New Roman" w:eastAsia="楷体"/>
          <w:sz w:val="24"/>
        </w:rPr>
        <w:t>判定结果</w:t>
      </w:r>
    </w:p>
    <w:tbl>
      <w:tblPr>
        <w:tblStyle w:val="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92"/>
        <w:gridCol w:w="2174"/>
        <w:gridCol w:w="2174"/>
      </w:tblGrid>
      <w:tr w14:paraId="0527B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1847" w:type="dxa"/>
            <w:vAlign w:val="center"/>
          </w:tcPr>
          <w:p w14:paraId="39A8D70F">
            <w:pPr>
              <w:spacing w:line="288" w:lineRule="auto"/>
              <w:rPr>
                <w:rFonts w:ascii="Times New Roman" w:hAnsi="Times New Roman" w:eastAsia="楷体"/>
                <w:sz w:val="24"/>
              </w:rPr>
            </w:pPr>
            <w:r>
              <w:rPr>
                <w:rFonts w:ascii="Times New Roman" w:hAnsi="Times New Roman" w:eastAsia="楷体"/>
                <w:sz w:val="24"/>
              </w:rPr>
              <w:t>条件</w:t>
            </w:r>
          </w:p>
        </w:tc>
        <w:tc>
          <w:tcPr>
            <w:tcW w:w="2144" w:type="dxa"/>
            <w:vAlign w:val="center"/>
          </w:tcPr>
          <w:p w14:paraId="1DD368D2">
            <w:pPr>
              <w:spacing w:line="288" w:lineRule="auto"/>
              <w:rPr>
                <w:rFonts w:ascii="Times New Roman" w:hAnsi="Times New Roman" w:eastAsia="楷体"/>
                <w:sz w:val="24"/>
              </w:rPr>
            </w:pPr>
            <w:r>
              <w:rPr>
                <w:rFonts w:hint="eastAsia" w:ascii="Times New Roman" w:hAnsi="Times New Roman" w:eastAsia="楷体"/>
                <w:sz w:val="24"/>
              </w:rPr>
              <w:t>标签</w:t>
            </w:r>
          </w:p>
        </w:tc>
        <w:tc>
          <w:tcPr>
            <w:tcW w:w="2129" w:type="dxa"/>
            <w:vAlign w:val="center"/>
          </w:tcPr>
          <w:p w14:paraId="46CBC0CB">
            <w:pPr>
              <w:spacing w:line="288" w:lineRule="auto"/>
              <w:rPr>
                <w:rFonts w:ascii="Times New Roman" w:hAnsi="Times New Roman" w:eastAsia="楷体"/>
                <w:sz w:val="24"/>
              </w:rPr>
            </w:pPr>
            <w:r>
              <w:rPr>
                <w:rFonts w:ascii="Times New Roman" w:hAnsi="Times New Roman" w:eastAsia="楷体"/>
                <w:sz w:val="24"/>
              </w:rPr>
              <w:t>输出状态</w:t>
            </w:r>
          </w:p>
        </w:tc>
      </w:tr>
      <w:tr w14:paraId="7B659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847" w:type="dxa"/>
            <w:vAlign w:val="center"/>
          </w:tcPr>
          <w:p w14:paraId="4CDC8A62">
            <w:pPr>
              <w:spacing w:line="288" w:lineRule="auto"/>
              <w:rPr>
                <w:rFonts w:ascii="Times New Roman" w:hAnsi="Times New Roman" w:eastAsia="楷体"/>
                <w:sz w:val="24"/>
              </w:rPr>
            </w:pPr>
            <w:r>
              <w:rPr>
                <w:rFonts w:ascii="Times New Roman" w:hAnsi="Times New Roman" w:eastAsia="楷体"/>
                <w:sz w:val="24"/>
              </w:rPr>
              <w:t>T</w:t>
            </w:r>
            <w:r>
              <w:rPr>
                <w:rFonts w:hint="eastAsia" w:ascii="Times New Roman" w:hAnsi="Times New Roman" w:eastAsia="楷体"/>
                <w:sz w:val="24"/>
              </w:rPr>
              <w:t>＝0</w:t>
            </w:r>
          </w:p>
        </w:tc>
        <w:tc>
          <w:tcPr>
            <w:tcW w:w="2144" w:type="dxa"/>
            <w:vAlign w:val="center"/>
          </w:tcPr>
          <w:p w14:paraId="6D3C71BD">
            <w:pPr>
              <w:spacing w:line="288" w:lineRule="auto"/>
              <w:rPr>
                <w:rFonts w:ascii="Times New Roman" w:hAnsi="Times New Roman" w:eastAsia="楷体"/>
                <w:sz w:val="24"/>
              </w:rPr>
            </w:pPr>
            <w:r>
              <w:rPr>
                <w:rFonts w:hint="eastAsia" w:ascii="Times New Roman" w:hAnsi="Times New Roman" w:eastAsia="楷体"/>
                <w:sz w:val="24"/>
              </w:rPr>
              <w:t>评估信息不足</w:t>
            </w:r>
          </w:p>
        </w:tc>
        <w:tc>
          <w:tcPr>
            <w:tcW w:w="2129" w:type="dxa"/>
            <w:vAlign w:val="center"/>
          </w:tcPr>
          <w:p w14:paraId="1A195D16">
            <w:pPr>
              <w:spacing w:line="288" w:lineRule="auto"/>
              <w:rPr>
                <w:rFonts w:ascii="Times New Roman" w:hAnsi="Times New Roman" w:eastAsia="楷体"/>
                <w:sz w:val="24"/>
              </w:rPr>
            </w:pPr>
            <w:r>
              <w:rPr>
                <w:rFonts w:hint="eastAsia" w:ascii="Times New Roman" w:hAnsi="Times New Roman" w:eastAsia="楷体"/>
                <w:sz w:val="24"/>
              </w:rPr>
              <w:t>不输出</w:t>
            </w:r>
          </w:p>
        </w:tc>
      </w:tr>
      <w:tr w14:paraId="4C765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847" w:type="dxa"/>
            <w:vAlign w:val="center"/>
          </w:tcPr>
          <w:p w14:paraId="06827E57">
            <w:pPr>
              <w:spacing w:line="288" w:lineRule="auto"/>
              <w:rPr>
                <w:rFonts w:ascii="Times New Roman" w:hAnsi="Times New Roman" w:eastAsia="楷体"/>
                <w:sz w:val="24"/>
              </w:rPr>
            </w:pPr>
            <w:r>
              <w:rPr>
                <w:rFonts w:ascii="Times New Roman" w:hAnsi="Times New Roman" w:eastAsia="楷体"/>
                <w:sz w:val="24"/>
              </w:rPr>
              <w:t>T ≥</w:t>
            </w:r>
            <w:r>
              <w:rPr>
                <w:rFonts w:hint="eastAsia" w:ascii="Times New Roman" w:hAnsi="Times New Roman" w:eastAsia="楷体"/>
                <w:sz w:val="24"/>
              </w:rPr>
              <w:t>1</w:t>
            </w:r>
            <w:r>
              <w:rPr>
                <w:rFonts w:ascii="Times New Roman" w:hAnsi="Times New Roman" w:eastAsia="楷体"/>
                <w:sz w:val="24"/>
              </w:rPr>
              <w:t xml:space="preserve"> 且 R = 0</w:t>
            </w:r>
          </w:p>
        </w:tc>
        <w:tc>
          <w:tcPr>
            <w:tcW w:w="2144" w:type="dxa"/>
            <w:vAlign w:val="center"/>
          </w:tcPr>
          <w:p w14:paraId="3DD402A3">
            <w:pPr>
              <w:spacing w:line="288" w:lineRule="auto"/>
              <w:rPr>
                <w:rFonts w:ascii="Times New Roman" w:hAnsi="Times New Roman" w:eastAsia="楷体"/>
                <w:sz w:val="24"/>
              </w:rPr>
            </w:pPr>
            <w:r>
              <w:rPr>
                <w:rFonts w:hint="eastAsia" w:ascii="Times New Roman" w:hAnsi="Times New Roman" w:eastAsia="楷体"/>
                <w:sz w:val="24"/>
              </w:rPr>
              <w:t>正常</w:t>
            </w:r>
          </w:p>
        </w:tc>
        <w:tc>
          <w:tcPr>
            <w:tcW w:w="2129" w:type="dxa"/>
            <w:vAlign w:val="center"/>
          </w:tcPr>
          <w:p w14:paraId="7B5E4D26">
            <w:pPr>
              <w:spacing w:line="288" w:lineRule="auto"/>
              <w:rPr>
                <w:rFonts w:ascii="Times New Roman" w:hAnsi="Times New Roman" w:eastAsia="楷体"/>
                <w:sz w:val="24"/>
              </w:rPr>
            </w:pPr>
            <w:r>
              <w:rPr>
                <w:rFonts w:ascii="Times New Roman" w:hAnsi="Times New Roman" w:eastAsia="楷体"/>
                <w:sz w:val="24"/>
              </w:rPr>
              <w:t>未见明显风险</w:t>
            </w:r>
            <w:r>
              <w:rPr>
                <w:rFonts w:hint="eastAsia" w:ascii="Times New Roman" w:hAnsi="Times New Roman" w:eastAsia="楷体"/>
                <w:sz w:val="24"/>
              </w:rPr>
              <w:t>信号</w:t>
            </w:r>
          </w:p>
        </w:tc>
      </w:tr>
      <w:tr w14:paraId="6772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847" w:type="dxa"/>
            <w:vAlign w:val="center"/>
          </w:tcPr>
          <w:p w14:paraId="6AFEEE18">
            <w:pPr>
              <w:spacing w:line="288" w:lineRule="auto"/>
              <w:rPr>
                <w:rFonts w:ascii="Times New Roman" w:hAnsi="Times New Roman" w:eastAsia="楷体"/>
                <w:sz w:val="24"/>
              </w:rPr>
            </w:pPr>
            <w:r>
              <w:rPr>
                <w:rFonts w:ascii="Times New Roman" w:hAnsi="Times New Roman" w:eastAsia="楷体"/>
                <w:sz w:val="24"/>
              </w:rPr>
              <w:t xml:space="preserve">T ≥ </w:t>
            </w:r>
            <w:r>
              <w:rPr>
                <w:rFonts w:hint="eastAsia" w:ascii="Times New Roman" w:hAnsi="Times New Roman" w:eastAsia="楷体"/>
                <w:sz w:val="24"/>
              </w:rPr>
              <w:t>1</w:t>
            </w:r>
            <w:r>
              <w:rPr>
                <w:rFonts w:ascii="Times New Roman" w:hAnsi="Times New Roman" w:eastAsia="楷体"/>
                <w:sz w:val="24"/>
              </w:rPr>
              <w:t xml:space="preserve"> 且 R = 1–2</w:t>
            </w:r>
          </w:p>
        </w:tc>
        <w:tc>
          <w:tcPr>
            <w:tcW w:w="2144" w:type="dxa"/>
            <w:vAlign w:val="center"/>
          </w:tcPr>
          <w:p w14:paraId="43E63A96">
            <w:pPr>
              <w:spacing w:line="288" w:lineRule="auto"/>
              <w:rPr>
                <w:rFonts w:ascii="Times New Roman" w:hAnsi="Times New Roman" w:eastAsia="楷体"/>
                <w:sz w:val="24"/>
              </w:rPr>
            </w:pPr>
            <w:r>
              <w:rPr>
                <w:rFonts w:hint="eastAsia" w:ascii="Times New Roman" w:hAnsi="Times New Roman" w:eastAsia="楷体"/>
                <w:sz w:val="24"/>
              </w:rPr>
              <w:t>出现异常</w:t>
            </w:r>
          </w:p>
        </w:tc>
        <w:tc>
          <w:tcPr>
            <w:tcW w:w="2129" w:type="dxa"/>
            <w:vAlign w:val="center"/>
          </w:tcPr>
          <w:p w14:paraId="61D5A427">
            <w:pPr>
              <w:spacing w:line="288" w:lineRule="auto"/>
              <w:rPr>
                <w:rFonts w:ascii="Times New Roman" w:hAnsi="Times New Roman" w:eastAsia="楷体"/>
                <w:sz w:val="24"/>
              </w:rPr>
            </w:pPr>
            <w:r>
              <w:rPr>
                <w:rFonts w:ascii="Times New Roman" w:hAnsi="Times New Roman" w:eastAsia="楷体"/>
                <w:sz w:val="24"/>
              </w:rPr>
              <w:t>存在风险信号</w:t>
            </w:r>
          </w:p>
        </w:tc>
      </w:tr>
      <w:tr w14:paraId="1021E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847" w:type="dxa"/>
            <w:vAlign w:val="center"/>
          </w:tcPr>
          <w:p w14:paraId="4DE00E0E">
            <w:pPr>
              <w:spacing w:line="288" w:lineRule="auto"/>
              <w:rPr>
                <w:rFonts w:ascii="Times New Roman" w:hAnsi="Times New Roman" w:eastAsia="楷体"/>
                <w:sz w:val="24"/>
              </w:rPr>
            </w:pPr>
            <w:r>
              <w:rPr>
                <w:rFonts w:ascii="Times New Roman" w:hAnsi="Times New Roman" w:eastAsia="楷体"/>
                <w:sz w:val="24"/>
              </w:rPr>
              <w:t xml:space="preserve">T ≥ </w:t>
            </w:r>
            <w:r>
              <w:rPr>
                <w:rFonts w:hint="eastAsia" w:ascii="Times New Roman" w:hAnsi="Times New Roman" w:eastAsia="楷体"/>
                <w:sz w:val="24"/>
              </w:rPr>
              <w:t>3</w:t>
            </w:r>
            <w:r>
              <w:rPr>
                <w:rFonts w:ascii="Times New Roman" w:hAnsi="Times New Roman" w:eastAsia="楷体"/>
                <w:sz w:val="24"/>
              </w:rPr>
              <w:t xml:space="preserve"> 且 R ≥ 3</w:t>
            </w:r>
          </w:p>
        </w:tc>
        <w:tc>
          <w:tcPr>
            <w:tcW w:w="2144" w:type="dxa"/>
            <w:vAlign w:val="center"/>
          </w:tcPr>
          <w:p w14:paraId="678795C7">
            <w:pPr>
              <w:spacing w:line="288" w:lineRule="auto"/>
              <w:rPr>
                <w:rFonts w:ascii="Times New Roman" w:hAnsi="Times New Roman" w:eastAsia="楷体"/>
                <w:sz w:val="24"/>
              </w:rPr>
            </w:pPr>
            <w:r>
              <w:rPr>
                <w:rFonts w:hint="eastAsia" w:ascii="Times New Roman" w:hAnsi="Times New Roman" w:eastAsia="楷体"/>
                <w:sz w:val="24"/>
              </w:rPr>
              <w:t>多项异常</w:t>
            </w:r>
          </w:p>
        </w:tc>
        <w:tc>
          <w:tcPr>
            <w:tcW w:w="2129" w:type="dxa"/>
            <w:vAlign w:val="center"/>
          </w:tcPr>
          <w:p w14:paraId="01F7B3C1">
            <w:pPr>
              <w:spacing w:line="288" w:lineRule="auto"/>
              <w:rPr>
                <w:rFonts w:ascii="Times New Roman" w:hAnsi="Times New Roman" w:eastAsia="楷体"/>
                <w:sz w:val="24"/>
              </w:rPr>
            </w:pPr>
            <w:r>
              <w:rPr>
                <w:rFonts w:ascii="Times New Roman" w:hAnsi="Times New Roman" w:eastAsia="楷体"/>
                <w:sz w:val="24"/>
              </w:rPr>
              <w:t>多风险信号并存</w:t>
            </w:r>
          </w:p>
        </w:tc>
      </w:tr>
    </w:tbl>
    <w:p w14:paraId="404063E2">
      <w:pPr>
        <w:spacing w:line="288" w:lineRule="auto"/>
        <w:rPr>
          <w:rFonts w:ascii="Times New Roman" w:hAnsi="Times New Roman" w:eastAsia="楷体"/>
          <w:sz w:val="24"/>
        </w:rPr>
      </w:pPr>
      <w:r>
        <w:rPr>
          <w:rFonts w:hint="eastAsia" w:ascii="楷体" w:hAnsi="楷体" w:eastAsia="楷体" w:cs="楷体"/>
          <w:sz w:val="24"/>
        </w:rPr>
        <w:t>②</w:t>
      </w:r>
      <w:r>
        <w:rPr>
          <w:rFonts w:hint="eastAsia" w:ascii="Times New Roman" w:hAnsi="Times New Roman" w:eastAsia="楷体"/>
          <w:sz w:val="24"/>
          <w:lang w:val="en-US" w:eastAsia="zh-CN"/>
        </w:rPr>
        <w:t xml:space="preserve"> </w:t>
      </w:r>
      <w:r>
        <w:rPr>
          <w:rFonts w:hint="eastAsia" w:ascii="Times New Roman" w:hAnsi="Times New Roman" w:eastAsia="楷体"/>
          <w:sz w:val="24"/>
        </w:rPr>
        <w:t>整体风险结果输出</w:t>
      </w:r>
    </w:p>
    <w:p w14:paraId="0CC94B6D">
      <w:pPr>
        <w:spacing w:line="288" w:lineRule="auto"/>
        <w:ind w:firstLine="480" w:firstLineChars="200"/>
        <w:rPr>
          <w:rFonts w:ascii="Times New Roman" w:hAnsi="Times New Roman" w:eastAsia="楷体"/>
          <w:sz w:val="24"/>
        </w:rPr>
      </w:pPr>
      <w:r>
        <w:rPr>
          <w:rFonts w:hint="eastAsia" w:ascii="Times New Roman" w:hAnsi="Times New Roman" w:eastAsia="楷体"/>
          <w:sz w:val="24"/>
          <w:lang w:val="en-US" w:eastAsia="zh-CN"/>
        </w:rPr>
        <w:t xml:space="preserve">a. </w:t>
      </w:r>
      <w:r>
        <w:rPr>
          <w:rFonts w:hint="eastAsia" w:ascii="Times New Roman" w:hAnsi="Times New Roman" w:eastAsia="楷体"/>
          <w:sz w:val="24"/>
        </w:rPr>
        <w:t>定义</w:t>
      </w:r>
    </w:p>
    <w:p w14:paraId="62B9CDC7">
      <w:pPr>
        <w:spacing w:line="288" w:lineRule="auto"/>
        <w:ind w:firstLine="480" w:firstLineChars="200"/>
        <w:rPr>
          <w:rFonts w:ascii="Times New Roman" w:hAnsi="Times New Roman" w:eastAsia="楷体"/>
          <w:sz w:val="24"/>
        </w:rPr>
      </w:pPr>
      <w:r>
        <w:rPr>
          <w:rFonts w:hint="eastAsia" w:ascii="Times New Roman" w:hAnsi="Times New Roman" w:eastAsia="楷体"/>
          <w:sz w:val="24"/>
        </w:rPr>
        <w:t>MD=</w:t>
      </w:r>
      <w:r>
        <w:rPr>
          <w:rFonts w:ascii="Times New Roman" w:hAnsi="Times New Roman" w:eastAsia="楷体"/>
          <w:sz w:val="24"/>
        </w:rPr>
        <w:t>评估</w:t>
      </w:r>
      <w:r>
        <w:rPr>
          <w:rFonts w:hint="eastAsia" w:ascii="Times New Roman" w:hAnsi="Times New Roman" w:eastAsia="楷体"/>
          <w:sz w:val="24"/>
        </w:rPr>
        <w:t>信息不足</w:t>
      </w:r>
    </w:p>
    <w:p w14:paraId="54517741">
      <w:pPr>
        <w:spacing w:line="288" w:lineRule="auto"/>
        <w:ind w:firstLine="480" w:firstLineChars="200"/>
        <w:rPr>
          <w:rFonts w:ascii="Times New Roman" w:hAnsi="Times New Roman" w:eastAsia="楷体"/>
          <w:sz w:val="24"/>
        </w:rPr>
      </w:pPr>
      <w:r>
        <w:rPr>
          <w:rFonts w:hint="eastAsia" w:ascii="Times New Roman" w:hAnsi="Times New Roman" w:eastAsia="楷体"/>
          <w:sz w:val="24"/>
        </w:rPr>
        <w:t>MR=存在风险信号，多风险信号并存</w:t>
      </w:r>
    </w:p>
    <w:p w14:paraId="3B74AF5F">
      <w:pPr>
        <w:spacing w:line="288" w:lineRule="auto"/>
        <w:ind w:firstLine="480" w:firstLineChars="200"/>
        <w:rPr>
          <w:rFonts w:ascii="Times New Roman" w:hAnsi="Times New Roman" w:eastAsia="楷体"/>
          <w:sz w:val="24"/>
        </w:rPr>
      </w:pPr>
      <w:r>
        <w:rPr>
          <w:rFonts w:hint="eastAsia" w:ascii="Times New Roman" w:hAnsi="Times New Roman" w:eastAsia="楷体"/>
          <w:sz w:val="24"/>
          <w:lang w:val="en-US" w:eastAsia="zh-CN"/>
        </w:rPr>
        <w:t xml:space="preserve">b. </w:t>
      </w:r>
      <w:r>
        <w:rPr>
          <w:rFonts w:hint="eastAsia" w:ascii="Times New Roman" w:hAnsi="Times New Roman" w:eastAsia="楷体"/>
          <w:sz w:val="24"/>
        </w:rPr>
        <w:t>判定规则以及输出结果</w:t>
      </w:r>
    </w:p>
    <w:p w14:paraId="1B210D86">
      <w:pPr>
        <w:spacing w:line="288" w:lineRule="auto"/>
        <w:ind w:firstLine="480" w:firstLineChars="200"/>
        <w:rPr>
          <w:rFonts w:ascii="Times New Roman" w:hAnsi="Times New Roman" w:eastAsia="楷体"/>
          <w:sz w:val="24"/>
        </w:rPr>
      </w:pPr>
      <w:r>
        <w:rPr>
          <w:rFonts w:hint="eastAsia" w:ascii="Times New Roman" w:hAnsi="Times New Roman" w:eastAsia="楷体"/>
          <w:sz w:val="24"/>
        </w:rPr>
        <w:t>MD→数据不足，暂无法判断（不输出，本模块直接不展示）</w:t>
      </w:r>
    </w:p>
    <w:p w14:paraId="6A2B93B2">
      <w:pPr>
        <w:spacing w:line="288" w:lineRule="auto"/>
        <w:ind w:firstLine="480" w:firstLineChars="200"/>
        <w:rPr>
          <w:rFonts w:ascii="Times New Roman" w:hAnsi="Times New Roman" w:eastAsia="楷体"/>
          <w:sz w:val="24"/>
        </w:rPr>
      </w:pPr>
      <w:r>
        <w:rPr>
          <w:rFonts w:ascii="Times New Roman" w:hAnsi="Times New Roman" w:eastAsia="楷体"/>
          <w:sz w:val="24"/>
        </w:rPr>
        <w:t xml:space="preserve">MR = </w:t>
      </w:r>
      <w:r>
        <w:rPr>
          <w:rFonts w:hint="eastAsia" w:ascii="Times New Roman" w:hAnsi="Times New Roman" w:eastAsia="楷体"/>
          <w:sz w:val="24"/>
        </w:rPr>
        <w:t>0→“整体稳定”，从本周期已完成的健康评估模块来看，各模块结果整体较为平衡，暂未呈现需要重点关注的集中信号。</w:t>
      </w:r>
    </w:p>
    <w:p w14:paraId="346471B2">
      <w:pPr>
        <w:spacing w:line="288" w:lineRule="auto"/>
        <w:ind w:firstLine="480" w:firstLineChars="200"/>
        <w:rPr>
          <w:rFonts w:ascii="Times New Roman" w:hAnsi="Times New Roman" w:eastAsia="楷体"/>
          <w:sz w:val="24"/>
        </w:rPr>
      </w:pPr>
      <w:r>
        <w:rPr>
          <w:rFonts w:ascii="Times New Roman" w:hAnsi="Times New Roman" w:eastAsia="楷体"/>
          <w:sz w:val="24"/>
        </w:rPr>
        <w:t>MR = 1</w:t>
      </w:r>
      <w:r>
        <w:rPr>
          <w:rFonts w:hint="eastAsia" w:ascii="Times New Roman" w:hAnsi="Times New Roman" w:eastAsia="楷体"/>
          <w:sz w:val="24"/>
        </w:rPr>
        <w:t>→“出现关注点”，在本周期的健康评估中，部分模块结果提示存在需要关注的情况，建议结合对应模块的具体分析进行查看。</w:t>
      </w:r>
    </w:p>
    <w:p w14:paraId="13DB3426">
      <w:pPr>
        <w:spacing w:line="288" w:lineRule="auto"/>
        <w:ind w:firstLine="480" w:firstLineChars="200"/>
        <w:rPr>
          <w:rFonts w:ascii="Times New Roman" w:hAnsi="Times New Roman" w:eastAsia="楷体"/>
          <w:sz w:val="24"/>
        </w:rPr>
      </w:pPr>
      <w:r>
        <w:rPr>
          <w:rFonts w:ascii="Times New Roman" w:hAnsi="Times New Roman" w:eastAsia="楷体"/>
          <w:sz w:val="24"/>
        </w:rPr>
        <w:t>MR</w:t>
      </w:r>
      <w:r>
        <w:rPr>
          <w:rFonts w:hint="eastAsia" w:ascii="Times New Roman" w:hAnsi="Times New Roman" w:eastAsia="楷体"/>
          <w:sz w:val="24"/>
        </w:rPr>
        <w:t>≥2→“整体需重视”，当前整体状态提示多个系统同时存在需要关注的问题，建议进行系统性管理与持续跟踪。</w:t>
      </w:r>
    </w:p>
    <w:p w14:paraId="38CD8EB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bCs/>
          <w:sz w:val="24"/>
          <w:szCs w:val="24"/>
          <w:lang w:val="en-US" w:eastAsia="zh-CN"/>
        </w:rPr>
        <w:t>*注：</w:t>
      </w:r>
      <w:r>
        <w:rPr>
          <w:rFonts w:hint="eastAsia" w:ascii="Times New Roman" w:hAnsi="Times New Roman" w:eastAsia="楷体" w:cs="Times New Roman"/>
          <w:b w:val="0"/>
          <w:bCs w:val="0"/>
          <w:sz w:val="24"/>
          <w:szCs w:val="24"/>
          <w:lang w:val="en-US" w:eastAsia="zh-CN"/>
        </w:rPr>
        <w:t>一</w:t>
      </w:r>
      <w:r>
        <w:rPr>
          <w:rFonts w:hint="default" w:ascii="Times New Roman" w:hAnsi="Times New Roman" w:eastAsia="楷体" w:cs="Times New Roman"/>
          <w:b w:val="0"/>
          <w:bCs w:val="0"/>
          <w:sz w:val="24"/>
          <w:szCs w:val="24"/>
          <w:lang w:val="en-US" w:eastAsia="zh-CN"/>
        </w:rPr>
        <w:t>周期</w:t>
      </w:r>
      <w:r>
        <w:rPr>
          <w:rFonts w:hint="eastAsia" w:ascii="Times New Roman" w:hAnsi="Times New Roman" w:eastAsia="楷体" w:cs="Times New Roman"/>
          <w:b w:val="0"/>
          <w:bCs w:val="0"/>
          <w:sz w:val="24"/>
          <w:szCs w:val="24"/>
          <w:lang w:val="en-US" w:eastAsia="zh-CN"/>
        </w:rPr>
        <w:t>时间为14天</w:t>
      </w:r>
    </w:p>
    <w:p w14:paraId="7D70712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显示风险信号个数计算</w:t>
      </w:r>
    </w:p>
    <w:p w14:paraId="630AF044">
      <w:pPr>
        <w:spacing w:line="288" w:lineRule="auto"/>
        <w:ind w:firstLine="480" w:firstLineChars="200"/>
        <w:rPr>
          <w:rFonts w:ascii="Times New Roman" w:hAnsi="Times New Roman" w:eastAsia="楷体"/>
          <w:sz w:val="24"/>
        </w:rPr>
      </w:pPr>
      <w:r>
        <w:rPr>
          <w:rFonts w:hint="eastAsia" w:ascii="Times New Roman" w:hAnsi="Times New Roman" w:eastAsia="楷体"/>
          <w:sz w:val="24"/>
        </w:rPr>
        <w:t>对触发不同标签的二级目录进行累加</w:t>
      </w:r>
    </w:p>
    <w:p w14:paraId="2D80B23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sz w:val="24"/>
        </w:rPr>
        <w:t>例子：3个二级目录被贴上“出现异常”标签→</w:t>
      </w:r>
      <w:r>
        <w:rPr>
          <w:rFonts w:ascii="Times New Roman" w:hAnsi="Times New Roman" w:eastAsia="楷体"/>
          <w:sz w:val="24"/>
        </w:rPr>
        <w:t>存在风险信号</w:t>
      </w:r>
      <w:r>
        <w:rPr>
          <w:rFonts w:hint="eastAsia" w:ascii="Times New Roman" w:hAnsi="Times New Roman" w:eastAsia="楷体"/>
          <w:sz w:val="24"/>
        </w:rPr>
        <w:t>3个</w:t>
      </w:r>
    </w:p>
    <w:p w14:paraId="0B6999F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 xml:space="preserve">4. </w:t>
      </w:r>
      <w:r>
        <w:rPr>
          <w:rFonts w:hint="eastAsia" w:ascii="Times New Roman" w:hAnsi="Times New Roman" w:eastAsia="楷体"/>
          <w:b/>
          <w:bCs/>
          <w:sz w:val="24"/>
          <w:lang w:val="en-US" w:eastAsia="zh-CN"/>
        </w:rPr>
        <w:t>联动提示</w:t>
      </w:r>
      <w:r>
        <w:rPr>
          <w:rFonts w:hint="eastAsia" w:ascii="Times New Roman" w:hAnsi="Times New Roman" w:eastAsia="楷体" w:cs="Times New Roman"/>
          <w:b/>
          <w:bCs/>
          <w:sz w:val="24"/>
          <w:szCs w:val="24"/>
          <w:lang w:val="en-US" w:eastAsia="zh-CN"/>
        </w:rPr>
        <w:t>（→抗衰管理模块）输出内容</w:t>
      </w:r>
    </w:p>
    <w:p w14:paraId="6027A87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ascii="Times New Roman" w:hAnsi="Times New Roman" w:eastAsia="楷体"/>
          <w:sz w:val="24"/>
        </w:rPr>
      </w:pPr>
      <w:r>
        <w:rPr>
          <w:rFonts w:hint="eastAsia" w:ascii="Times New Roman" w:hAnsi="Times New Roman" w:eastAsia="楷体" w:cs="Times New Roman"/>
          <w:b/>
          <w:bCs/>
          <w:sz w:val="24"/>
          <w:szCs w:val="24"/>
          <w:lang w:val="en-US" w:eastAsia="zh-CN"/>
        </w:rPr>
        <w:t xml:space="preserve">A. </w:t>
      </w:r>
      <w:r>
        <w:rPr>
          <w:rFonts w:hint="eastAsia" w:ascii="Times New Roman" w:hAnsi="Times New Roman" w:eastAsia="楷体"/>
          <w:b/>
          <w:bCs/>
          <w:sz w:val="24"/>
          <w:lang w:val="en-US" w:eastAsia="zh-CN"/>
        </w:rPr>
        <w:t>联动提示</w:t>
      </w:r>
      <w:r>
        <w:rPr>
          <w:rFonts w:hint="eastAsia" w:ascii="Times New Roman" w:hAnsi="Times New Roman" w:eastAsia="楷体"/>
          <w:b/>
          <w:bCs/>
          <w:sz w:val="24"/>
        </w:rPr>
        <w:t>触发条件</w:t>
      </w:r>
    </w:p>
    <w:p w14:paraId="4DA679D6">
      <w:pPr>
        <w:spacing w:line="288" w:lineRule="auto"/>
        <w:ind w:firstLine="480" w:firstLineChars="200"/>
        <w:rPr>
          <w:rFonts w:hint="default" w:ascii="Times New Roman" w:hAnsi="Times New Roman" w:eastAsia="楷体"/>
          <w:sz w:val="24"/>
          <w:lang w:val="en-US" w:eastAsia="zh-CN"/>
        </w:rPr>
      </w:pPr>
      <w:r>
        <w:rPr>
          <w:rFonts w:ascii="Times New Roman" w:hAnsi="Times New Roman" w:eastAsia="楷体"/>
          <w:sz w:val="24"/>
        </w:rPr>
        <w:t>当某一</w:t>
      </w:r>
      <w:r>
        <w:rPr>
          <w:rFonts w:hint="eastAsia" w:ascii="Times New Roman" w:hAnsi="Times New Roman" w:eastAsia="楷体"/>
          <w:sz w:val="24"/>
          <w:lang w:eastAsia="zh-CN"/>
        </w:rPr>
        <w:t>“</w:t>
      </w:r>
      <w:r>
        <w:rPr>
          <w:rFonts w:hint="eastAsia" w:ascii="Times New Roman" w:hAnsi="Times New Roman" w:eastAsia="楷体"/>
          <w:sz w:val="24"/>
          <w:lang w:val="en-US" w:eastAsia="zh-CN"/>
        </w:rPr>
        <w:t>二级标题</w:t>
      </w:r>
      <w:r>
        <w:rPr>
          <w:rFonts w:hint="eastAsia" w:ascii="Times New Roman" w:hAnsi="Times New Roman" w:eastAsia="楷体"/>
          <w:sz w:val="24"/>
          <w:lang w:eastAsia="zh-CN"/>
        </w:rPr>
        <w:t>”</w:t>
      </w:r>
      <w:r>
        <w:rPr>
          <w:rFonts w:ascii="Times New Roman" w:hAnsi="Times New Roman" w:eastAsia="楷体"/>
          <w:sz w:val="24"/>
        </w:rPr>
        <w:t>在本次</w:t>
      </w:r>
      <w:r>
        <w:rPr>
          <w:rFonts w:hint="eastAsia" w:ascii="Times New Roman" w:hAnsi="Times New Roman" w:eastAsia="楷体"/>
          <w:sz w:val="24"/>
          <w:lang w:val="en-US" w:eastAsia="zh-CN"/>
        </w:rPr>
        <w:t>整体状态</w:t>
      </w:r>
      <w:r>
        <w:rPr>
          <w:rFonts w:ascii="Times New Roman" w:hAnsi="Times New Roman" w:eastAsia="楷体"/>
          <w:sz w:val="24"/>
        </w:rPr>
        <w:t>中</w:t>
      </w:r>
      <w:r>
        <w:rPr>
          <w:rFonts w:hint="eastAsia" w:ascii="Times New Roman" w:hAnsi="Times New Roman" w:eastAsia="楷体"/>
          <w:sz w:val="24"/>
          <w:lang w:val="en-US" w:eastAsia="zh-CN"/>
        </w:rPr>
        <w:t>的“</w:t>
      </w:r>
      <w:r>
        <w:rPr>
          <w:rFonts w:hint="eastAsia" w:ascii="Times New Roman" w:hAnsi="Times New Roman" w:eastAsia="楷体"/>
          <w:sz w:val="24"/>
        </w:rPr>
        <w:t>二级标题结果判定</w:t>
      </w:r>
      <w:r>
        <w:rPr>
          <w:rFonts w:hint="eastAsia" w:ascii="Times New Roman" w:hAnsi="Times New Roman" w:eastAsia="楷体"/>
          <w:sz w:val="24"/>
          <w:lang w:val="en-US" w:eastAsia="zh-CN"/>
        </w:rPr>
        <w:t>”</w:t>
      </w:r>
      <w:r>
        <w:rPr>
          <w:rFonts w:ascii="Times New Roman" w:hAnsi="Times New Roman" w:eastAsia="楷体"/>
          <w:sz w:val="24"/>
        </w:rPr>
        <w:t>被判定为存在风险信号</w:t>
      </w:r>
      <w:r>
        <w:rPr>
          <w:rFonts w:hint="eastAsia" w:ascii="Times New Roman" w:hAnsi="Times New Roman" w:eastAsia="楷体"/>
          <w:sz w:val="24"/>
        </w:rPr>
        <w:t>、</w:t>
      </w:r>
      <w:r>
        <w:rPr>
          <w:rFonts w:ascii="Times New Roman" w:hAnsi="Times New Roman" w:eastAsia="楷体"/>
          <w:sz w:val="24"/>
        </w:rPr>
        <w:t>多风险信号并存</w:t>
      </w:r>
      <w:r>
        <w:rPr>
          <w:rFonts w:hint="eastAsia" w:ascii="Times New Roman" w:hAnsi="Times New Roman" w:eastAsia="楷体"/>
          <w:sz w:val="24"/>
          <w:lang w:eastAsia="zh-CN"/>
        </w:rPr>
        <w:t>，</w:t>
      </w:r>
      <w:r>
        <w:rPr>
          <w:rFonts w:hint="eastAsia" w:ascii="Times New Roman" w:hAnsi="Times New Roman" w:eastAsia="楷体"/>
          <w:sz w:val="24"/>
          <w:lang w:val="en-US" w:eastAsia="zh-CN"/>
        </w:rPr>
        <w:t>则将本二级标题所属一级标题贴上“触发联动标签”</w:t>
      </w:r>
      <w:r>
        <w:rPr>
          <w:rFonts w:hint="eastAsia" w:ascii="Times New Roman" w:hAnsi="Times New Roman" w:eastAsia="楷体"/>
          <w:sz w:val="24"/>
        </w:rPr>
        <w:t>→</w:t>
      </w:r>
      <w:r>
        <w:rPr>
          <w:rFonts w:ascii="Times New Roman" w:hAnsi="Times New Roman" w:eastAsia="楷体"/>
          <w:sz w:val="24"/>
        </w:rPr>
        <w:t>即触发联动</w:t>
      </w:r>
      <w:r>
        <w:rPr>
          <w:rFonts w:hint="eastAsia" w:ascii="Times New Roman" w:hAnsi="Times New Roman" w:eastAsia="楷体"/>
          <w:sz w:val="24"/>
          <w:lang w:eastAsia="zh-CN"/>
        </w:rPr>
        <w:t>，</w:t>
      </w:r>
      <w:r>
        <w:rPr>
          <w:rFonts w:hint="eastAsia" w:ascii="Times New Roman" w:hAnsi="Times New Roman" w:eastAsia="楷体"/>
          <w:sz w:val="24"/>
          <w:lang w:val="en-US" w:eastAsia="zh-CN"/>
        </w:rPr>
        <w:t>展示跳转按钮（详细联动对应表格见附录）</w:t>
      </w:r>
    </w:p>
    <w:p w14:paraId="55D4005C">
      <w:pPr>
        <w:keepNext w:val="0"/>
        <w:keepLines w:val="0"/>
        <w:pageBreakBefore w:val="0"/>
        <w:widowControl w:val="0"/>
        <w:numPr>
          <w:numId w:val="0"/>
        </w:numPr>
        <w:kinsoku/>
        <w:wordWrap/>
        <w:overflowPunct/>
        <w:topLinePunct w:val="0"/>
        <w:autoSpaceDE/>
        <w:autoSpaceDN/>
        <w:bidi w:val="0"/>
        <w:adjustRightInd/>
        <w:snapToGrid/>
        <w:spacing w:line="360" w:lineRule="auto"/>
        <w:ind w:left="400" w:leftChars="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sz w:val="24"/>
          <w:lang w:val="en-US" w:eastAsia="zh-CN"/>
        </w:rPr>
        <w:t>未触发不展示联动提示</w:t>
      </w:r>
    </w:p>
    <w:p w14:paraId="2919BF57">
      <w:pPr>
        <w:spacing w:line="288" w:lineRule="auto"/>
        <w:rPr>
          <w:rFonts w:hint="eastAsia" w:ascii="Times New Roman" w:hAnsi="Times New Roman" w:eastAsia="楷体"/>
          <w:b/>
          <w:bCs/>
          <w:sz w:val="24"/>
          <w:lang w:val="en-US" w:eastAsia="zh-CN"/>
        </w:rPr>
      </w:pPr>
      <w:r>
        <w:rPr>
          <w:rFonts w:hint="default" w:ascii="Times New Roman" w:hAnsi="Times New Roman" w:eastAsia="楷体" w:cs="Times New Roman"/>
          <w:b/>
          <w:bCs/>
          <w:kern w:val="2"/>
          <w:sz w:val="24"/>
          <w:szCs w:val="24"/>
          <w:lang w:val="en-US" w:eastAsia="zh-CN" w:bidi="ar-SA"/>
        </w:rPr>
        <w:t>B.</w:t>
      </w:r>
      <w:r>
        <w:rPr>
          <w:rFonts w:hint="eastAsia" w:ascii="Times New Roman" w:hAnsi="Times New Roman" w:eastAsia="楷体" w:cs="Times New Roman"/>
          <w:b/>
          <w:bCs/>
          <w:kern w:val="2"/>
          <w:sz w:val="24"/>
          <w:szCs w:val="24"/>
          <w:lang w:val="en-US" w:eastAsia="zh-CN" w:bidi="ar-SA"/>
        </w:rPr>
        <w:t xml:space="preserve"> </w:t>
      </w:r>
      <w:r>
        <w:rPr>
          <w:rFonts w:hint="eastAsia" w:ascii="Times New Roman" w:hAnsi="Times New Roman" w:eastAsia="楷体"/>
          <w:b/>
          <w:bCs/>
          <w:sz w:val="24"/>
          <w:lang w:val="en-US" w:eastAsia="zh-CN"/>
        </w:rPr>
        <w:t>风险信号来源展示设定</w:t>
      </w:r>
    </w:p>
    <w:p w14:paraId="1B0341DC">
      <w:pPr>
        <w:spacing w:line="288" w:lineRule="auto"/>
        <w:rPr>
          <w:rFonts w:hint="eastAsia" w:ascii="Times New Roman" w:hAnsi="Times New Roman" w:eastAsia="楷体"/>
          <w:sz w:val="24"/>
          <w:lang w:val="en-US" w:eastAsia="zh-CN"/>
        </w:rPr>
      </w:pPr>
      <w:r>
        <w:rPr>
          <w:rFonts w:hint="eastAsia" w:ascii="楷体" w:hAnsi="楷体" w:eastAsia="楷体" w:cs="楷体"/>
          <w:sz w:val="24"/>
          <w:lang w:val="en-US" w:eastAsia="zh-CN"/>
        </w:rPr>
        <w:t>①</w:t>
      </w:r>
      <w:r>
        <w:rPr>
          <w:rFonts w:hint="eastAsia" w:ascii="Times New Roman" w:hAnsi="Times New Roman" w:eastAsia="楷体"/>
          <w:sz w:val="24"/>
          <w:lang w:val="en-US" w:eastAsia="zh-CN"/>
        </w:rPr>
        <w:t>展示用户触发的所有的，</w:t>
      </w:r>
      <w:r>
        <w:rPr>
          <w:rFonts w:ascii="Times New Roman" w:hAnsi="Times New Roman" w:eastAsia="楷体"/>
          <w:sz w:val="24"/>
        </w:rPr>
        <w:t>在本次</w:t>
      </w:r>
      <w:r>
        <w:rPr>
          <w:rFonts w:hint="eastAsia" w:ascii="Times New Roman" w:hAnsi="Times New Roman" w:eastAsia="楷体"/>
          <w:sz w:val="24"/>
          <w:lang w:val="en-US" w:eastAsia="zh-CN"/>
        </w:rPr>
        <w:t>整体状态</w:t>
      </w:r>
      <w:r>
        <w:rPr>
          <w:rFonts w:ascii="Times New Roman" w:hAnsi="Times New Roman" w:eastAsia="楷体"/>
          <w:sz w:val="24"/>
        </w:rPr>
        <w:t>中</w:t>
      </w:r>
      <w:r>
        <w:rPr>
          <w:rFonts w:hint="eastAsia" w:ascii="Times New Roman" w:hAnsi="Times New Roman" w:eastAsia="楷体"/>
          <w:sz w:val="24"/>
          <w:lang w:val="en-US" w:eastAsia="zh-CN"/>
        </w:rPr>
        <w:t>的“</w:t>
      </w:r>
      <w:r>
        <w:rPr>
          <w:rFonts w:hint="eastAsia" w:ascii="Times New Roman" w:hAnsi="Times New Roman" w:eastAsia="楷体"/>
          <w:sz w:val="24"/>
        </w:rPr>
        <w:t>二级标题结果判定</w:t>
      </w:r>
      <w:r>
        <w:rPr>
          <w:rFonts w:hint="eastAsia" w:ascii="Times New Roman" w:hAnsi="Times New Roman" w:eastAsia="楷体"/>
          <w:sz w:val="24"/>
          <w:lang w:val="en-US" w:eastAsia="zh-CN"/>
        </w:rPr>
        <w:t>”</w:t>
      </w:r>
      <w:r>
        <w:rPr>
          <w:rFonts w:ascii="Times New Roman" w:hAnsi="Times New Roman" w:eastAsia="楷体"/>
          <w:sz w:val="24"/>
        </w:rPr>
        <w:t>被判定为存在风险信号</w:t>
      </w:r>
      <w:r>
        <w:rPr>
          <w:rFonts w:hint="eastAsia" w:ascii="Times New Roman" w:hAnsi="Times New Roman" w:eastAsia="楷体"/>
          <w:sz w:val="24"/>
        </w:rPr>
        <w:t>、</w:t>
      </w:r>
      <w:r>
        <w:rPr>
          <w:rFonts w:ascii="Times New Roman" w:hAnsi="Times New Roman" w:eastAsia="楷体"/>
          <w:sz w:val="24"/>
        </w:rPr>
        <w:t>多风险信号并存</w:t>
      </w:r>
      <w:r>
        <w:rPr>
          <w:rFonts w:hint="eastAsia" w:ascii="Times New Roman" w:hAnsi="Times New Roman" w:eastAsia="楷体"/>
          <w:sz w:val="24"/>
          <w:lang w:val="en-US" w:eastAsia="zh-CN"/>
        </w:rPr>
        <w:t>的二级标题，并且展示本二级标题所在一级标题，风险信号（</w:t>
      </w:r>
      <w:r>
        <w:rPr>
          <w:rFonts w:ascii="Times New Roman" w:hAnsi="Times New Roman" w:eastAsia="楷体"/>
          <w:sz w:val="24"/>
        </w:rPr>
        <w:t>存在风险信号</w:t>
      </w:r>
      <w:r>
        <w:rPr>
          <w:rFonts w:hint="eastAsia" w:ascii="Times New Roman" w:hAnsi="Times New Roman" w:eastAsia="楷体"/>
          <w:sz w:val="24"/>
          <w:lang w:val="en-US" w:eastAsia="zh-CN"/>
        </w:rPr>
        <w:t>或</w:t>
      </w:r>
      <w:r>
        <w:rPr>
          <w:rFonts w:ascii="Times New Roman" w:hAnsi="Times New Roman" w:eastAsia="楷体"/>
          <w:sz w:val="24"/>
        </w:rPr>
        <w:t>多风险信号并存</w:t>
      </w:r>
      <w:r>
        <w:rPr>
          <w:rFonts w:hint="eastAsia" w:ascii="Times New Roman" w:hAnsi="Times New Roman" w:eastAsia="楷体"/>
          <w:sz w:val="24"/>
          <w:lang w:val="en-US" w:eastAsia="zh-CN"/>
        </w:rPr>
        <w:t>）</w:t>
      </w:r>
    </w:p>
    <w:p w14:paraId="7E8ABE6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kern w:val="2"/>
          <w:sz w:val="24"/>
          <w:szCs w:val="24"/>
          <w:lang w:val="en-US" w:eastAsia="zh-CN" w:bidi="ar-SA"/>
        </w:rPr>
      </w:pPr>
      <w:r>
        <w:rPr>
          <w:rFonts w:hint="eastAsia" w:ascii="楷体" w:hAnsi="楷体" w:eastAsia="楷体" w:cs="楷体"/>
          <w:sz w:val="24"/>
          <w:lang w:val="en-US" w:eastAsia="zh-CN"/>
        </w:rPr>
        <w:t>②</w:t>
      </w:r>
      <w:r>
        <w:rPr>
          <w:rFonts w:hint="eastAsia" w:ascii="Times New Roman" w:hAnsi="Times New Roman" w:eastAsia="楷体"/>
          <w:sz w:val="24"/>
          <w:lang w:val="en-US" w:eastAsia="zh-CN"/>
        </w:rPr>
        <w:t>展示顺序：</w:t>
      </w:r>
      <w:r>
        <w:rPr>
          <w:rFonts w:ascii="Times New Roman" w:hAnsi="Times New Roman" w:eastAsia="楷体"/>
          <w:sz w:val="24"/>
        </w:rPr>
        <w:t>多风险信号并存</w:t>
      </w:r>
      <w:r>
        <w:rPr>
          <w:rFonts w:hint="eastAsia" w:ascii="Times New Roman" w:hAnsi="Times New Roman" w:eastAsia="楷体"/>
          <w:sz w:val="24"/>
          <w:lang w:val="en-US" w:eastAsia="zh-CN"/>
        </w:rPr>
        <w:t>在</w:t>
      </w:r>
      <w:r>
        <w:rPr>
          <w:rFonts w:ascii="Times New Roman" w:hAnsi="Times New Roman" w:eastAsia="楷体"/>
          <w:sz w:val="24"/>
        </w:rPr>
        <w:t>存在风险信号</w:t>
      </w:r>
      <w:r>
        <w:rPr>
          <w:rFonts w:hint="eastAsia" w:ascii="Times New Roman" w:hAnsi="Times New Roman" w:eastAsia="楷体"/>
          <w:sz w:val="24"/>
          <w:lang w:val="en-US" w:eastAsia="zh-CN"/>
        </w:rPr>
        <w:t>前面，同一风险信号等级排序按照方案排序规则中的二级目录排序展示给用户</w:t>
      </w:r>
    </w:p>
    <w:p w14:paraId="7D2DDE3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楷体"/>
          <w:b/>
          <w:bCs/>
          <w:sz w:val="24"/>
        </w:rPr>
      </w:pPr>
      <w:r>
        <w:rPr>
          <w:rFonts w:hint="eastAsia" w:ascii="Times New Roman" w:hAnsi="Times New Roman" w:eastAsia="楷体" w:cs="Times New Roman"/>
          <w:b/>
          <w:bCs/>
          <w:sz w:val="24"/>
          <w:szCs w:val="24"/>
          <w:lang w:val="en-US" w:eastAsia="zh-CN"/>
        </w:rPr>
        <w:t xml:space="preserve">C. </w:t>
      </w:r>
      <w:r>
        <w:rPr>
          <w:rFonts w:hint="default" w:ascii="Times New Roman" w:hAnsi="Times New Roman" w:eastAsia="楷体" w:cs="Times New Roman"/>
          <w:b/>
          <w:bCs/>
          <w:sz w:val="24"/>
          <w:szCs w:val="24"/>
          <w:lang w:val="en-US" w:eastAsia="zh-CN"/>
        </w:rPr>
        <w:t>用户端联动展示方式</w:t>
      </w:r>
      <w:r>
        <w:rPr>
          <w:rFonts w:hint="eastAsia" w:ascii="Times New Roman" w:hAnsi="Times New Roman" w:eastAsia="楷体"/>
          <w:sz w:val="24"/>
        </w:rPr>
        <w:t>→</w:t>
      </w:r>
      <w:r>
        <w:rPr>
          <w:rFonts w:hint="eastAsia" w:ascii="Times New Roman" w:hAnsi="Times New Roman" w:eastAsia="楷体"/>
          <w:b/>
          <w:bCs/>
          <w:sz w:val="24"/>
        </w:rPr>
        <w:t>来自二级标题结果判定和联动提示</w:t>
      </w:r>
    </w:p>
    <w:p w14:paraId="4A755171">
      <w:pPr>
        <w:spacing w:line="288" w:lineRule="auto"/>
        <w:ind w:firstLine="480" w:firstLineChars="200"/>
        <w:rPr>
          <w:rFonts w:ascii="Times New Roman" w:hAnsi="Times New Roman" w:eastAsia="楷体"/>
          <w:sz w:val="24"/>
        </w:rPr>
      </w:pPr>
      <w:r>
        <w:rPr>
          <w:rFonts w:hint="eastAsia" w:ascii="楷体" w:hAnsi="楷体" w:eastAsia="楷体" w:cs="楷体"/>
          <w:sz w:val="24"/>
        </w:rPr>
        <w:t>①</w:t>
      </w:r>
      <w:r>
        <w:rPr>
          <w:rFonts w:hint="eastAsia" w:ascii="Times New Roman" w:hAnsi="Times New Roman" w:eastAsia="楷体"/>
          <w:sz w:val="24"/>
        </w:rPr>
        <w:t>如果没有进行联动此部分折叠不显示</w:t>
      </w:r>
    </w:p>
    <w:p w14:paraId="01BDBD52">
      <w:pPr>
        <w:spacing w:line="288" w:lineRule="auto"/>
        <w:ind w:firstLine="480" w:firstLineChars="200"/>
        <w:rPr>
          <w:rFonts w:ascii="Times New Roman" w:hAnsi="Times New Roman" w:eastAsia="楷体"/>
          <w:sz w:val="24"/>
        </w:rPr>
      </w:pPr>
      <w:r>
        <w:rPr>
          <w:rFonts w:hint="eastAsia" w:ascii="楷体" w:hAnsi="楷体" w:eastAsia="楷体" w:cs="楷体"/>
          <w:sz w:val="24"/>
        </w:rPr>
        <w:t>②</w:t>
      </w:r>
      <w:r>
        <w:rPr>
          <w:rFonts w:hint="eastAsia" w:ascii="Times New Roman" w:hAnsi="Times New Roman" w:eastAsia="楷体"/>
          <w:sz w:val="24"/>
        </w:rPr>
        <w:t>如果联动</w:t>
      </w:r>
    </w:p>
    <w:p w14:paraId="20397EB4">
      <w:pPr>
        <w:spacing w:line="288" w:lineRule="auto"/>
        <w:ind w:firstLine="480" w:firstLineChars="200"/>
        <w:rPr>
          <w:rFonts w:ascii="Times New Roman" w:hAnsi="Times New Roman" w:eastAsia="楷体"/>
          <w:sz w:val="24"/>
        </w:rPr>
      </w:pPr>
      <w:r>
        <w:rPr>
          <w:rFonts w:hint="eastAsia" w:ascii="Times New Roman" w:hAnsi="Times New Roman" w:eastAsia="楷体"/>
          <w:sz w:val="24"/>
          <w:lang w:val="en-US" w:eastAsia="zh-CN"/>
        </w:rPr>
        <w:t xml:space="preserve">a. </w:t>
      </w:r>
      <w:r>
        <w:rPr>
          <w:rFonts w:hint="eastAsia" w:ascii="Times New Roman" w:hAnsi="Times New Roman" w:eastAsia="楷体"/>
          <w:sz w:val="24"/>
        </w:rPr>
        <w:t>提示“已识别部分健康状态存在持续变化趋势，可进一步</w:t>
      </w:r>
      <w:r>
        <w:rPr>
          <w:rFonts w:hint="eastAsia" w:ascii="Times New Roman" w:hAnsi="Times New Roman" w:eastAsia="楷体"/>
          <w:sz w:val="24"/>
          <w:lang w:val="en-US" w:eastAsia="zh-CN"/>
        </w:rPr>
        <w:t>进行抗衰管理</w:t>
      </w:r>
      <w:r>
        <w:rPr>
          <w:rFonts w:hint="eastAsia" w:ascii="Times New Roman" w:hAnsi="Times New Roman" w:eastAsia="楷体"/>
          <w:sz w:val="24"/>
        </w:rPr>
        <w:t>。”</w:t>
      </w:r>
    </w:p>
    <w:p w14:paraId="02AC2BA4">
      <w:pPr>
        <w:spacing w:line="288" w:lineRule="auto"/>
        <w:ind w:firstLine="480" w:firstLineChars="200"/>
        <w:rPr>
          <w:rFonts w:ascii="Times New Roman" w:hAnsi="Times New Roman" w:eastAsia="楷体"/>
          <w:sz w:val="24"/>
        </w:rPr>
      </w:pPr>
      <w:r>
        <w:rPr>
          <w:rFonts w:hint="eastAsia" w:ascii="Times New Roman" w:hAnsi="Times New Roman" w:eastAsia="楷体"/>
          <w:sz w:val="24"/>
        </w:rPr>
        <w:t>展示触发联动的二级标题的风险信号</w:t>
      </w:r>
      <w:r>
        <w:rPr>
          <w:rFonts w:hint="eastAsia" w:ascii="Times New Roman" w:hAnsi="Times New Roman" w:eastAsia="楷体"/>
          <w:sz w:val="24"/>
          <w:lang w:val="en-US" w:eastAsia="zh-CN"/>
        </w:rPr>
        <w:t>-</w:t>
      </w:r>
      <w:r>
        <w:rPr>
          <w:rFonts w:hint="eastAsia" w:ascii="Times New Roman" w:hAnsi="Times New Roman" w:eastAsia="楷体"/>
          <w:sz w:val="24"/>
        </w:rPr>
        <w:t>二级目录标题</w:t>
      </w:r>
      <w:r>
        <w:rPr>
          <w:rFonts w:hint="eastAsia" w:ascii="Times New Roman" w:hAnsi="Times New Roman" w:eastAsia="楷体"/>
          <w:sz w:val="24"/>
          <w:lang w:val="en-US" w:eastAsia="zh-CN"/>
        </w:rPr>
        <w:t>-该二级标题所在一级标题</w:t>
      </w:r>
      <w:r>
        <w:rPr>
          <w:rFonts w:hint="eastAsia" w:ascii="Times New Roman" w:hAnsi="Times New Roman" w:eastAsia="楷体"/>
          <w:sz w:val="24"/>
        </w:rPr>
        <w:t>+联动模块</w:t>
      </w:r>
    </w:p>
    <w:p w14:paraId="3BF63982">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lang w:val="en-US" w:eastAsia="zh-CN"/>
        </w:rPr>
      </w:pPr>
      <w:r>
        <w:rPr>
          <w:rFonts w:hint="eastAsia" w:ascii="Times New Roman" w:hAnsi="Times New Roman" w:eastAsia="楷体"/>
          <w:sz w:val="24"/>
        </w:rPr>
        <w:t>例：</w:t>
      </w:r>
      <w:r>
        <w:rPr>
          <w:rFonts w:ascii="Times New Roman" w:hAnsi="Times New Roman" w:eastAsia="楷体"/>
          <w:sz w:val="24"/>
        </w:rPr>
        <w:t>多风险信号</w:t>
      </w:r>
      <w:r>
        <w:rPr>
          <w:rFonts w:hint="eastAsia" w:ascii="Times New Roman" w:hAnsi="Times New Roman" w:eastAsia="楷体"/>
          <w:sz w:val="24"/>
        </w:rPr>
        <w:t>并存</w:t>
      </w:r>
      <w:r>
        <w:rPr>
          <w:rFonts w:hint="eastAsia" w:ascii="Times New Roman" w:hAnsi="Times New Roman" w:eastAsia="楷体"/>
          <w:sz w:val="24"/>
          <w:lang w:val="en-US" w:eastAsia="zh-CN"/>
        </w:rPr>
        <w:t>-</w:t>
      </w:r>
      <w:r>
        <w:rPr>
          <w:rFonts w:hint="eastAsia" w:ascii="Times New Roman" w:hAnsi="Times New Roman" w:eastAsia="楷体"/>
          <w:sz w:val="24"/>
        </w:rPr>
        <w:t>睡眠与疲劳状态监测</w:t>
      </w:r>
      <w:r>
        <w:rPr>
          <w:rFonts w:hint="eastAsia" w:ascii="Times New Roman" w:hAnsi="Times New Roman" w:eastAsia="楷体"/>
          <w:sz w:val="24"/>
          <w:lang w:val="en-US" w:eastAsia="zh-CN"/>
        </w:rPr>
        <w:t>-身体功能状态评估</w:t>
      </w:r>
      <w:r>
        <w:rPr>
          <w:rFonts w:hint="eastAsia" w:ascii="Times New Roman" w:hAnsi="Times New Roman" w:eastAsia="楷体"/>
          <w:sz w:val="24"/>
        </w:rPr>
        <w:t>+</w:t>
      </w:r>
      <w:r>
        <w:rPr>
          <w:rFonts w:hint="eastAsia" w:ascii="Times New Roman" w:hAnsi="Times New Roman" w:eastAsia="楷体"/>
          <w:sz w:val="24"/>
          <w:lang w:val="en-US" w:eastAsia="zh-CN"/>
        </w:rPr>
        <w:t>抗衰管理-体能与系统功能维护，睡眠与昼夜节律管理</w:t>
      </w:r>
    </w:p>
    <w:p w14:paraId="2896CA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楷体"/>
          <w:sz w:val="24"/>
          <w:lang w:val="en-US" w:eastAsia="zh-CN"/>
        </w:rPr>
      </w:pPr>
      <w:r>
        <w:rPr>
          <w:rFonts w:hint="eastAsia" w:ascii="Times New Roman" w:hAnsi="Times New Roman" w:eastAsia="楷体"/>
          <w:sz w:val="24"/>
          <w:lang w:val="en-US" w:eastAsia="zh-CN"/>
        </w:rPr>
        <w:t xml:space="preserve">     b. 展示跳转按钮和忽略提示按钮</w:t>
      </w:r>
    </w:p>
    <w:p w14:paraId="662D30E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bCs/>
          <w:sz w:val="24"/>
          <w:szCs w:val="24"/>
          <w:lang w:val="en-US" w:eastAsia="zh-CN"/>
        </w:rPr>
        <w:t>（二）</w:t>
      </w:r>
      <w:r>
        <w:rPr>
          <w:rFonts w:hint="default" w:ascii="Times New Roman" w:hAnsi="Times New Roman" w:eastAsia="楷体" w:cs="Times New Roman"/>
          <w:b/>
          <w:bCs/>
          <w:sz w:val="24"/>
          <w:szCs w:val="24"/>
          <w:lang w:val="en-US" w:eastAsia="zh-CN"/>
        </w:rPr>
        <w:t>关键变化与风险趋势</w:t>
      </w:r>
    </w:p>
    <w:p w14:paraId="6C5615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1.功能定位</w:t>
      </w:r>
    </w:p>
    <w:p w14:paraId="36E18E5C">
      <w:pPr>
        <w:spacing w:line="288" w:lineRule="auto"/>
        <w:ind w:firstLine="480" w:firstLineChars="200"/>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sz w:val="24"/>
        </w:rPr>
        <w:t>对用户本周期内所有已触发的预防干预风险评估结果进行上一周期对比，整合为系统级风险变化结论。</w:t>
      </w:r>
    </w:p>
    <w:p w14:paraId="18C7BE7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kern w:val="2"/>
          <w:sz w:val="24"/>
          <w:szCs w:val="24"/>
          <w:lang w:val="en-US" w:eastAsia="zh-CN" w:bidi="ar-SA"/>
        </w:rPr>
        <w:t>2.</w:t>
      </w:r>
      <w:r>
        <w:rPr>
          <w:rFonts w:hint="eastAsia" w:ascii="Times New Roman" w:hAnsi="Times New Roman" w:eastAsia="楷体" w:cs="Times New Roman"/>
          <w:b/>
          <w:bCs/>
          <w:sz w:val="24"/>
          <w:szCs w:val="24"/>
          <w:lang w:val="en-US" w:eastAsia="zh-CN"/>
        </w:rPr>
        <w:t>展示内容及规则</w:t>
      </w:r>
    </w:p>
    <w:p w14:paraId="70C3D5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A. 用户页展示内容：</w:t>
      </w:r>
    </w:p>
    <w:p w14:paraId="06EF4863">
      <w:pPr>
        <w:spacing w:line="288" w:lineRule="auto"/>
        <w:ind w:firstLine="480" w:firstLineChars="200"/>
        <w:rPr>
          <w:rFonts w:ascii="Times New Roman" w:hAnsi="Times New Roman" w:eastAsia="楷体"/>
          <w:sz w:val="24"/>
        </w:rPr>
      </w:pPr>
      <w:r>
        <w:rPr>
          <w:rFonts w:hint="eastAsia" w:ascii="楷体" w:hAnsi="楷体" w:eastAsia="楷体" w:cs="楷体"/>
          <w:sz w:val="24"/>
        </w:rPr>
        <w:t>①</w:t>
      </w:r>
      <w:r>
        <w:rPr>
          <w:rFonts w:hint="eastAsia" w:ascii="Times New Roman" w:hAnsi="Times New Roman" w:eastAsia="楷体"/>
          <w:sz w:val="24"/>
        </w:rPr>
        <w:t>本模块提示语</w:t>
      </w:r>
    </w:p>
    <w:p w14:paraId="22457F66">
      <w:pPr>
        <w:spacing w:line="288" w:lineRule="auto"/>
        <w:ind w:firstLine="480" w:firstLineChars="200"/>
        <w:rPr>
          <w:rFonts w:hint="eastAsia" w:ascii="Times New Roman" w:hAnsi="Times New Roman" w:eastAsia="楷体"/>
          <w:sz w:val="24"/>
        </w:rPr>
      </w:pPr>
      <w:r>
        <w:rPr>
          <w:rFonts w:hint="eastAsia" w:ascii="Times New Roman" w:hAnsi="Times New Roman" w:eastAsia="楷体"/>
          <w:sz w:val="24"/>
        </w:rPr>
        <w:t xml:space="preserve"> 综合本周期内的检测/评估结果，对整体风险变化进行总结</w:t>
      </w:r>
    </w:p>
    <w:p w14:paraId="7A126A59">
      <w:pPr>
        <w:spacing w:line="288" w:lineRule="auto"/>
        <w:ind w:firstLine="480" w:firstLineChars="200"/>
        <w:rPr>
          <w:rFonts w:ascii="Times New Roman" w:hAnsi="Times New Roman" w:eastAsia="楷体"/>
          <w:sz w:val="24"/>
        </w:rPr>
      </w:pPr>
      <w:r>
        <w:rPr>
          <w:rFonts w:hint="eastAsia" w:ascii="楷体" w:hAnsi="楷体" w:eastAsia="楷体" w:cs="楷体"/>
          <w:sz w:val="24"/>
        </w:rPr>
        <w:t>②</w:t>
      </w:r>
      <w:r>
        <w:rPr>
          <w:rFonts w:hint="eastAsia" w:ascii="Times New Roman" w:hAnsi="Times New Roman" w:eastAsia="楷体"/>
          <w:sz w:val="24"/>
        </w:rPr>
        <w:t>风险变化总结</w:t>
      </w:r>
    </w:p>
    <w:p w14:paraId="75512042">
      <w:pPr>
        <w:spacing w:line="288" w:lineRule="auto"/>
        <w:ind w:firstLine="480" w:firstLineChars="200"/>
        <w:rPr>
          <w:rFonts w:ascii="Times New Roman" w:hAnsi="Times New Roman" w:eastAsia="楷体"/>
          <w:sz w:val="24"/>
        </w:rPr>
      </w:pPr>
      <w:r>
        <w:rPr>
          <w:rFonts w:hint="eastAsia" w:ascii="Times New Roman" w:hAnsi="Times New Roman" w:eastAsia="楷体"/>
          <w:sz w:val="24"/>
        </w:rPr>
        <w:t>数据不足，暂无法判断趋势</w:t>
      </w:r>
    </w:p>
    <w:p w14:paraId="4936233D">
      <w:pPr>
        <w:spacing w:line="288" w:lineRule="auto"/>
        <w:ind w:firstLine="480" w:firstLineChars="200"/>
        <w:rPr>
          <w:rFonts w:ascii="Times New Roman" w:hAnsi="Times New Roman" w:eastAsia="楷体"/>
          <w:sz w:val="24"/>
        </w:rPr>
      </w:pPr>
      <w:r>
        <w:rPr>
          <w:rFonts w:hint="eastAsia" w:ascii="Times New Roman" w:hAnsi="Times New Roman" w:eastAsia="楷体"/>
          <w:sz w:val="24"/>
        </w:rPr>
        <w:t>风险积累</w:t>
      </w:r>
      <w:r>
        <w:rPr>
          <w:rFonts w:hint="eastAsia" w:ascii="Times New Roman" w:hAnsi="Times New Roman" w:eastAsia="楷体"/>
          <w:sz w:val="24"/>
          <w:lang w:eastAsia="zh-CN"/>
        </w:rPr>
        <w:t>：</w:t>
      </w:r>
      <w:r>
        <w:rPr>
          <w:rFonts w:hint="eastAsia" w:ascii="Times New Roman" w:hAnsi="Times New Roman" w:eastAsia="楷体"/>
          <w:sz w:val="24"/>
        </w:rPr>
        <w:t>x，出现波动</w:t>
      </w:r>
      <w:r>
        <w:rPr>
          <w:rFonts w:hint="eastAsia" w:ascii="Times New Roman" w:hAnsi="Times New Roman" w:eastAsia="楷体"/>
          <w:sz w:val="24"/>
          <w:lang w:eastAsia="zh-CN"/>
        </w:rPr>
        <w:t>：</w:t>
      </w:r>
      <w:r>
        <w:rPr>
          <w:rFonts w:hint="eastAsia" w:ascii="Times New Roman" w:hAnsi="Times New Roman" w:eastAsia="楷体"/>
          <w:sz w:val="24"/>
        </w:rPr>
        <w:t>x，趋势改善</w:t>
      </w:r>
      <w:r>
        <w:rPr>
          <w:rFonts w:hint="eastAsia" w:ascii="Times New Roman" w:hAnsi="Times New Roman" w:eastAsia="楷体"/>
          <w:sz w:val="24"/>
          <w:lang w:eastAsia="zh-CN"/>
        </w:rPr>
        <w:t>：</w:t>
      </w:r>
      <w:r>
        <w:rPr>
          <w:rFonts w:hint="eastAsia" w:ascii="Times New Roman" w:hAnsi="Times New Roman" w:eastAsia="楷体"/>
          <w:sz w:val="24"/>
        </w:rPr>
        <w:t>x，趋势稳定</w:t>
      </w:r>
      <w:r>
        <w:rPr>
          <w:rFonts w:hint="eastAsia" w:ascii="Times New Roman" w:hAnsi="Times New Roman" w:eastAsia="楷体"/>
          <w:sz w:val="24"/>
          <w:lang w:eastAsia="zh-CN"/>
        </w:rPr>
        <w:t>：</w:t>
      </w:r>
      <w:r>
        <w:rPr>
          <w:rFonts w:hint="eastAsia" w:ascii="Times New Roman" w:hAnsi="Times New Roman" w:eastAsia="楷体"/>
          <w:sz w:val="24"/>
        </w:rPr>
        <w:t>x</w:t>
      </w:r>
    </w:p>
    <w:p w14:paraId="0BEE43F8">
      <w:pPr>
        <w:spacing w:line="288" w:lineRule="auto"/>
        <w:ind w:firstLine="480" w:firstLineChars="200"/>
        <w:rPr>
          <w:rFonts w:ascii="Times New Roman" w:hAnsi="Times New Roman" w:eastAsia="楷体"/>
          <w:sz w:val="24"/>
        </w:rPr>
      </w:pPr>
      <w:r>
        <w:rPr>
          <w:rFonts w:hint="eastAsia" w:ascii="Times New Roman" w:hAnsi="Times New Roman" w:eastAsia="楷体"/>
          <w:sz w:val="24"/>
        </w:rPr>
        <w:t>（以上其中之一）</w:t>
      </w:r>
    </w:p>
    <w:p w14:paraId="7B706175">
      <w:pPr>
        <w:spacing w:line="288" w:lineRule="auto"/>
        <w:ind w:firstLine="480" w:firstLineChars="200"/>
        <w:rPr>
          <w:rFonts w:ascii="Times New Roman" w:hAnsi="Times New Roman" w:eastAsia="楷体"/>
          <w:sz w:val="24"/>
        </w:rPr>
      </w:pPr>
      <w:r>
        <w:rPr>
          <w:rFonts w:hint="eastAsia" w:ascii="楷体" w:hAnsi="楷体" w:eastAsia="楷体" w:cs="楷体"/>
          <w:sz w:val="24"/>
        </w:rPr>
        <w:t>③</w:t>
      </w:r>
      <w:r>
        <w:rPr>
          <w:rFonts w:hint="eastAsia" w:ascii="Times New Roman" w:hAnsi="Times New Roman" w:eastAsia="楷体"/>
          <w:sz w:val="24"/>
        </w:rPr>
        <w:t>风险系统展示</w:t>
      </w:r>
    </w:p>
    <w:p w14:paraId="684A5249">
      <w:pPr>
        <w:spacing w:line="288" w:lineRule="auto"/>
        <w:ind w:firstLine="480" w:firstLineChars="200"/>
        <w:rPr>
          <w:rFonts w:ascii="Times New Roman" w:hAnsi="Times New Roman" w:eastAsia="楷体"/>
          <w:sz w:val="24"/>
        </w:rPr>
      </w:pPr>
      <w:r>
        <w:rPr>
          <w:rFonts w:hint="eastAsia" w:ascii="Times New Roman" w:hAnsi="Times New Roman" w:eastAsia="楷体"/>
          <w:sz w:val="24"/>
        </w:rPr>
        <w:t>a. 展示评估模型</w:t>
      </w:r>
    </w:p>
    <w:p w14:paraId="1A1E60D7">
      <w:pPr>
        <w:spacing w:line="288" w:lineRule="auto"/>
        <w:ind w:firstLine="480" w:firstLineChars="200"/>
        <w:rPr>
          <w:rFonts w:hint="eastAsia" w:ascii="Times New Roman" w:hAnsi="Times New Roman" w:eastAsia="楷体"/>
          <w:sz w:val="24"/>
          <w:lang w:val="en-US" w:eastAsia="zh-CN"/>
        </w:rPr>
      </w:pPr>
      <w:r>
        <w:rPr>
          <w:rFonts w:hint="eastAsia" w:ascii="Times New Roman" w:hAnsi="Times New Roman" w:eastAsia="楷体"/>
          <w:sz w:val="24"/>
          <w:lang w:val="en-US" w:eastAsia="zh-CN"/>
        </w:rPr>
        <w:t>二级目录名称 （</w:t>
      </w:r>
      <w:r>
        <w:rPr>
          <w:rFonts w:hint="eastAsia" w:ascii="Times New Roman" w:hAnsi="Times New Roman" w:eastAsia="楷体" w:cs="Times New Roman"/>
          <w:sz w:val="24"/>
        </w:rPr>
        <w:t>风险累积、出现波动，趋势改善和趋势稳定</w:t>
      </w:r>
      <w:r>
        <w:rPr>
          <w:rFonts w:hint="eastAsia" w:ascii="Times New Roman" w:hAnsi="Times New Roman" w:eastAsia="楷体" w:cs="Times New Roman"/>
          <w:sz w:val="24"/>
          <w:lang w:val="en-US" w:eastAsia="zh-CN"/>
        </w:rPr>
        <w:t>之一</w:t>
      </w:r>
      <w:r>
        <w:rPr>
          <w:rFonts w:hint="eastAsia" w:ascii="Times New Roman" w:hAnsi="Times New Roman" w:eastAsia="楷体"/>
          <w:sz w:val="24"/>
          <w:lang w:val="en-US" w:eastAsia="zh-CN"/>
        </w:rPr>
        <w:t>）</w:t>
      </w:r>
    </w:p>
    <w:p w14:paraId="59E3437D">
      <w:pPr>
        <w:spacing w:line="288" w:lineRule="auto"/>
        <w:ind w:firstLine="480" w:firstLineChars="200"/>
        <w:rPr>
          <w:rFonts w:hint="default" w:ascii="Times New Roman" w:hAnsi="Times New Roman" w:eastAsia="楷体"/>
          <w:sz w:val="24"/>
          <w:lang w:val="en-US" w:eastAsia="zh-CN"/>
        </w:rPr>
      </w:pPr>
      <w:r>
        <w:rPr>
          <w:rFonts w:hint="eastAsia" w:ascii="Times New Roman" w:hAnsi="Times New Roman" w:eastAsia="楷体"/>
          <w:sz w:val="24"/>
          <w:lang w:val="en-US" w:eastAsia="zh-CN"/>
        </w:rPr>
        <w:t>产品名称：风险等级</w:t>
      </w:r>
    </w:p>
    <w:p w14:paraId="5EF65C2D">
      <w:pPr>
        <w:spacing w:line="288" w:lineRule="auto"/>
        <w:ind w:firstLine="480" w:firstLineChars="200"/>
        <w:rPr>
          <w:rFonts w:ascii="Times New Roman" w:hAnsi="Times New Roman" w:eastAsia="楷体" w:cs="Times New Roman"/>
          <w:sz w:val="24"/>
        </w:rPr>
      </w:pPr>
      <w:r>
        <w:rPr>
          <w:rFonts w:hint="eastAsia" w:ascii="Times New Roman" w:hAnsi="Times New Roman" w:eastAsia="楷体" w:cs="Times New Roman"/>
          <w:sz w:val="24"/>
          <w:lang w:val="en-US" w:eastAsia="zh-CN"/>
        </w:rPr>
        <w:t>b</w:t>
      </w:r>
      <w:r>
        <w:rPr>
          <w:rFonts w:hint="eastAsia" w:ascii="Times New Roman" w:hAnsi="Times New Roman" w:eastAsia="楷体" w:cs="Times New Roman"/>
          <w:sz w:val="24"/>
        </w:rPr>
        <w:t>. 检测项目类</w:t>
      </w:r>
    </w:p>
    <w:p w14:paraId="640C92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sz w:val="24"/>
          <w:lang w:val="en-US" w:eastAsia="zh-CN"/>
        </w:rPr>
      </w:pPr>
      <w:r>
        <w:rPr>
          <w:rFonts w:hint="eastAsia" w:ascii="Times New Roman" w:hAnsi="Times New Roman" w:eastAsia="楷体" w:cs="Times New Roman"/>
          <w:sz w:val="24"/>
          <w:lang w:val="en-US" w:eastAsia="zh-CN"/>
        </w:rPr>
        <w:t>检测项目，结果（结果对应时间），参考值，提示</w:t>
      </w:r>
    </w:p>
    <w:p w14:paraId="3962843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B. 状态来源（依据用户使用评估模型的归属二级目录）</w:t>
      </w:r>
    </w:p>
    <w:p w14:paraId="75450F1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C</w:t>
      </w:r>
      <w:bookmarkStart w:id="0" w:name="_GoBack"/>
      <w:bookmarkEnd w:id="0"/>
      <w:r>
        <w:rPr>
          <w:rFonts w:hint="eastAsia" w:ascii="Times New Roman" w:hAnsi="Times New Roman" w:eastAsia="楷体" w:cs="Times New Roman"/>
          <w:b/>
          <w:bCs/>
          <w:sz w:val="24"/>
          <w:szCs w:val="24"/>
          <w:lang w:val="en-US" w:eastAsia="zh-CN"/>
        </w:rPr>
        <w:t>. 页面展示对应触发规则：</w:t>
      </w:r>
    </w:p>
    <w:p w14:paraId="217815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数据周期内，用户使用的评估模型结果及检测项目类</w:t>
      </w:r>
    </w:p>
    <w:p w14:paraId="3D091E03">
      <w:pPr>
        <w:spacing w:line="288" w:lineRule="auto"/>
        <w:rPr>
          <w:rFonts w:hint="default" w:ascii="Times New Roman" w:hAnsi="Times New Roman" w:eastAsia="楷体"/>
          <w:sz w:val="24"/>
          <w:lang w:val="en-US" w:eastAsia="zh-CN"/>
        </w:rPr>
      </w:pPr>
      <w:r>
        <w:rPr>
          <w:rFonts w:hint="eastAsia" w:ascii="Times New Roman" w:hAnsi="Times New Roman" w:eastAsia="楷体"/>
          <w:sz w:val="24"/>
          <w:lang w:eastAsia="zh-CN"/>
        </w:rPr>
        <w:t>（</w:t>
      </w:r>
      <w:r>
        <w:rPr>
          <w:rFonts w:hint="eastAsia" w:ascii="Times New Roman" w:hAnsi="Times New Roman" w:eastAsia="楷体"/>
          <w:sz w:val="24"/>
          <w:lang w:val="en-US" w:eastAsia="zh-CN"/>
        </w:rPr>
        <w:t>1</w:t>
      </w:r>
      <w:r>
        <w:rPr>
          <w:rFonts w:hint="eastAsia" w:ascii="Times New Roman" w:hAnsi="Times New Roman" w:eastAsia="楷体"/>
          <w:sz w:val="24"/>
          <w:lang w:eastAsia="zh-CN"/>
        </w:rPr>
        <w:t>）</w:t>
      </w:r>
      <w:r>
        <w:rPr>
          <w:rFonts w:hint="eastAsia" w:ascii="Times New Roman" w:hAnsi="Times New Roman" w:eastAsia="楷体"/>
          <w:sz w:val="24"/>
          <w:lang w:val="en-US" w:eastAsia="zh-CN"/>
        </w:rPr>
        <w:t>趋势判断逻辑</w:t>
      </w:r>
    </w:p>
    <w:p w14:paraId="4121C407">
      <w:pPr>
        <w:spacing w:line="288" w:lineRule="auto"/>
        <w:ind w:firstLine="480" w:firstLineChars="200"/>
        <w:rPr>
          <w:rFonts w:ascii="Times New Roman" w:hAnsi="Times New Roman" w:eastAsia="楷体"/>
          <w:sz w:val="24"/>
          <w:highlight w:val="none"/>
        </w:rPr>
      </w:pPr>
      <w:r>
        <w:rPr>
          <w:rFonts w:hint="eastAsia" w:ascii="楷体" w:hAnsi="楷体" w:eastAsia="楷体" w:cs="楷体"/>
          <w:sz w:val="24"/>
          <w:highlight w:val="none"/>
        </w:rPr>
        <w:t>①</w:t>
      </w:r>
      <w:r>
        <w:rPr>
          <w:rFonts w:hint="eastAsia" w:ascii="楷体" w:hAnsi="楷体" w:eastAsia="楷体" w:cs="楷体"/>
          <w:sz w:val="24"/>
          <w:highlight w:val="none"/>
          <w:lang w:val="en-US" w:eastAsia="zh-CN"/>
        </w:rPr>
        <w:t xml:space="preserve"> </w:t>
      </w:r>
      <w:r>
        <w:rPr>
          <w:rFonts w:hint="eastAsia" w:ascii="Times New Roman" w:hAnsi="Times New Roman" w:eastAsia="楷体"/>
          <w:sz w:val="24"/>
          <w:highlight w:val="none"/>
        </w:rPr>
        <w:t>二级标题变化判定逻辑</w:t>
      </w:r>
    </w:p>
    <w:p w14:paraId="6A2284D6">
      <w:pPr>
        <w:spacing w:line="288" w:lineRule="auto"/>
        <w:ind w:firstLine="480" w:firstLineChars="200"/>
        <w:rPr>
          <w:rFonts w:hint="eastAsia" w:ascii="Times New Roman" w:hAnsi="Times New Roman" w:eastAsia="楷体"/>
          <w:b w:val="0"/>
          <w:bCs w:val="0"/>
          <w:sz w:val="24"/>
          <w:highlight w:val="none"/>
        </w:rPr>
      </w:pPr>
      <w:r>
        <w:rPr>
          <w:rFonts w:hint="eastAsia" w:ascii="Times New Roman" w:hAnsi="Times New Roman" w:eastAsia="楷体"/>
          <w:b w:val="0"/>
          <w:bCs w:val="0"/>
          <w:sz w:val="24"/>
          <w:highlight w:val="none"/>
          <w:lang w:val="en-US" w:eastAsia="zh-CN"/>
        </w:rPr>
        <w:t>a.</w:t>
      </w:r>
      <w:r>
        <w:rPr>
          <w:rFonts w:hint="eastAsia" w:ascii="Times New Roman" w:hAnsi="Times New Roman" w:eastAsia="楷体"/>
          <w:b w:val="0"/>
          <w:bCs w:val="0"/>
          <w:sz w:val="24"/>
          <w:highlight w:val="none"/>
        </w:rPr>
        <w:t xml:space="preserve"> 二级标题对应状态判断</w:t>
      </w:r>
    </w:p>
    <w:p w14:paraId="1C5189C7">
      <w:pPr>
        <w:spacing w:line="288" w:lineRule="auto"/>
        <w:ind w:firstLine="480" w:firstLineChars="200"/>
        <w:rPr>
          <w:rFonts w:hint="eastAsia" w:ascii="Times New Roman" w:hAnsi="Times New Roman" w:eastAsia="楷体"/>
          <w:b w:val="0"/>
          <w:bCs w:val="0"/>
          <w:sz w:val="24"/>
          <w:highlight w:val="none"/>
        </w:rPr>
      </w:pPr>
      <w:r>
        <w:rPr>
          <w:rFonts w:hint="eastAsia" w:ascii="Times New Roman" w:hAnsi="Times New Roman" w:eastAsia="楷体"/>
          <w:sz w:val="24"/>
          <w:highlight w:val="none"/>
        </w:rPr>
        <w:t>R0 = 正常/低风险，R1 = 轻度异常，R2 = 中风险，R3 = 高风险/极高风险/建议就医</w:t>
      </w:r>
    </w:p>
    <w:p w14:paraId="0902BCD5">
      <w:pPr>
        <w:spacing w:line="288" w:lineRule="auto"/>
        <w:ind w:firstLine="480" w:firstLineChars="200"/>
        <w:rPr>
          <w:rFonts w:ascii="Times New Roman" w:hAnsi="Times New Roman" w:eastAsia="楷体"/>
          <w:sz w:val="24"/>
          <w:highlight w:val="none"/>
        </w:rPr>
      </w:pPr>
      <w:r>
        <w:rPr>
          <w:rFonts w:hint="eastAsia" w:ascii="Times New Roman" w:hAnsi="Times New Roman" w:eastAsia="楷体"/>
          <w:sz w:val="24"/>
          <w:highlight w:val="none"/>
        </w:rPr>
        <w:t>Step 1｜只要出现以下任一情况，直接判定，不看其他条件：</w:t>
      </w:r>
    </w:p>
    <w:p w14:paraId="383596E3">
      <w:pPr>
        <w:spacing w:line="288" w:lineRule="auto"/>
        <w:ind w:firstLine="480" w:firstLineChars="200"/>
        <w:rPr>
          <w:rFonts w:ascii="Times New Roman" w:hAnsi="Times New Roman" w:eastAsia="楷体"/>
          <w:sz w:val="24"/>
          <w:highlight w:val="none"/>
        </w:rPr>
      </w:pPr>
      <w:r>
        <w:rPr>
          <w:rFonts w:hint="eastAsia" w:ascii="Times New Roman" w:hAnsi="Times New Roman" w:eastAsia="楷体"/>
          <w:sz w:val="24"/>
          <w:highlight w:val="none"/>
        </w:rPr>
        <w:t>存在≥1 个 R3→ 二级标题状态 = 风险突出（S3）</w:t>
      </w:r>
    </w:p>
    <w:p w14:paraId="4B666B69">
      <w:pPr>
        <w:spacing w:line="288" w:lineRule="auto"/>
        <w:ind w:firstLine="480" w:firstLineChars="200"/>
        <w:rPr>
          <w:rFonts w:ascii="Times New Roman" w:hAnsi="Times New Roman" w:eastAsia="楷体"/>
          <w:sz w:val="24"/>
          <w:highlight w:val="none"/>
        </w:rPr>
      </w:pPr>
      <w:r>
        <w:rPr>
          <w:rFonts w:hint="eastAsia" w:ascii="Times New Roman" w:hAnsi="Times New Roman" w:eastAsia="楷体"/>
          <w:sz w:val="24"/>
          <w:highlight w:val="none"/>
        </w:rPr>
        <w:t>Step 2｜是否存在“风险集中/累积”</w:t>
      </w:r>
    </w:p>
    <w:p w14:paraId="0A88C387">
      <w:pPr>
        <w:spacing w:line="288" w:lineRule="auto"/>
        <w:ind w:firstLine="480" w:firstLineChars="200"/>
        <w:rPr>
          <w:rFonts w:ascii="Times New Roman" w:hAnsi="Times New Roman" w:eastAsia="楷体"/>
          <w:sz w:val="24"/>
          <w:highlight w:val="none"/>
        </w:rPr>
      </w:pPr>
      <w:r>
        <w:rPr>
          <w:rFonts w:hint="eastAsia" w:ascii="Times New Roman" w:hAnsi="Times New Roman" w:eastAsia="楷体"/>
          <w:sz w:val="24"/>
          <w:highlight w:val="none"/>
        </w:rPr>
        <w:t>在 不存在 R3 的前提下：</w:t>
      </w:r>
    </w:p>
    <w:p w14:paraId="10C95578">
      <w:pPr>
        <w:spacing w:line="288" w:lineRule="auto"/>
        <w:ind w:firstLine="480" w:firstLineChars="200"/>
        <w:rPr>
          <w:rFonts w:ascii="Times New Roman" w:hAnsi="Times New Roman" w:eastAsia="楷体"/>
          <w:sz w:val="24"/>
          <w:highlight w:val="none"/>
        </w:rPr>
      </w:pPr>
      <w:r>
        <w:rPr>
          <w:rFonts w:hint="eastAsia" w:ascii="Times New Roman" w:hAnsi="Times New Roman" w:eastAsia="楷体"/>
          <w:sz w:val="24"/>
          <w:highlight w:val="none"/>
        </w:rPr>
        <w:t>若 R2 的数量 ≥ 2→ 状态 = 风险累积（S2）</w:t>
      </w:r>
    </w:p>
    <w:p w14:paraId="2230EF3F">
      <w:pPr>
        <w:spacing w:line="288" w:lineRule="auto"/>
        <w:ind w:firstLine="480" w:firstLineChars="200"/>
        <w:rPr>
          <w:rFonts w:ascii="Times New Roman" w:hAnsi="Times New Roman" w:eastAsia="楷体"/>
          <w:sz w:val="24"/>
          <w:highlight w:val="none"/>
        </w:rPr>
      </w:pPr>
      <w:r>
        <w:rPr>
          <w:rFonts w:hint="eastAsia" w:ascii="Times New Roman" w:hAnsi="Times New Roman" w:eastAsia="楷体"/>
          <w:sz w:val="24"/>
          <w:highlight w:val="none"/>
        </w:rPr>
        <w:t>或R2 + R1 的数量 ≥ 3→ 状态 = 风险累积（S2）</w:t>
      </w:r>
    </w:p>
    <w:p w14:paraId="4563BD50">
      <w:pPr>
        <w:spacing w:line="288" w:lineRule="auto"/>
        <w:ind w:firstLine="480" w:firstLineChars="200"/>
        <w:rPr>
          <w:rFonts w:ascii="Times New Roman" w:hAnsi="Times New Roman" w:eastAsia="楷体"/>
          <w:sz w:val="24"/>
          <w:highlight w:val="none"/>
        </w:rPr>
      </w:pPr>
      <w:r>
        <w:rPr>
          <w:rFonts w:hint="eastAsia" w:ascii="Times New Roman" w:hAnsi="Times New Roman" w:eastAsia="楷体"/>
          <w:sz w:val="24"/>
          <w:highlight w:val="none"/>
        </w:rPr>
        <w:t>Step 3｜是否存在“波动 / 待关注”</w:t>
      </w:r>
    </w:p>
    <w:p w14:paraId="4D479F8C">
      <w:pPr>
        <w:spacing w:line="288" w:lineRule="auto"/>
        <w:ind w:firstLine="480" w:firstLineChars="200"/>
        <w:rPr>
          <w:rFonts w:ascii="Times New Roman" w:hAnsi="Times New Roman" w:eastAsia="楷体"/>
          <w:sz w:val="24"/>
          <w:highlight w:val="none"/>
        </w:rPr>
      </w:pPr>
      <w:r>
        <w:rPr>
          <w:rFonts w:hint="eastAsia" w:ascii="Times New Roman" w:hAnsi="Times New Roman" w:eastAsia="楷体"/>
          <w:sz w:val="24"/>
          <w:highlight w:val="none"/>
        </w:rPr>
        <w:t>在 不满足 S3 / S2 的前提下：</w:t>
      </w:r>
    </w:p>
    <w:p w14:paraId="08AB0653">
      <w:pPr>
        <w:spacing w:line="288" w:lineRule="auto"/>
        <w:ind w:firstLine="480" w:firstLineChars="200"/>
        <w:rPr>
          <w:rFonts w:ascii="Times New Roman" w:hAnsi="Times New Roman" w:eastAsia="楷体"/>
          <w:sz w:val="24"/>
          <w:highlight w:val="none"/>
        </w:rPr>
      </w:pPr>
      <w:r>
        <w:rPr>
          <w:rFonts w:hint="eastAsia" w:ascii="Times New Roman" w:hAnsi="Times New Roman" w:eastAsia="楷体"/>
          <w:sz w:val="24"/>
          <w:highlight w:val="none"/>
        </w:rPr>
        <w:t>若 存在 R2 或 R1≥1 个 → 状态 = 波动 / 待关注（S1）</w:t>
      </w:r>
    </w:p>
    <w:p w14:paraId="209CDB70">
      <w:pPr>
        <w:spacing w:line="288" w:lineRule="auto"/>
        <w:ind w:firstLine="480" w:firstLineChars="200"/>
        <w:rPr>
          <w:rFonts w:ascii="Times New Roman" w:hAnsi="Times New Roman" w:eastAsia="楷体"/>
          <w:sz w:val="24"/>
          <w:highlight w:val="none"/>
        </w:rPr>
      </w:pPr>
      <w:r>
        <w:rPr>
          <w:rFonts w:hint="eastAsia" w:ascii="Times New Roman" w:hAnsi="Times New Roman" w:eastAsia="楷体"/>
          <w:sz w:val="24"/>
          <w:highlight w:val="none"/>
        </w:rPr>
        <w:t>Step 4｜否则为稳定</w:t>
      </w:r>
    </w:p>
    <w:p w14:paraId="46F9339C">
      <w:pPr>
        <w:spacing w:line="288" w:lineRule="auto"/>
        <w:ind w:firstLine="480" w:firstLineChars="200"/>
        <w:rPr>
          <w:rFonts w:ascii="Times New Roman" w:hAnsi="Times New Roman" w:eastAsia="楷体"/>
          <w:sz w:val="24"/>
          <w:highlight w:val="none"/>
        </w:rPr>
      </w:pPr>
      <w:r>
        <w:rPr>
          <w:rFonts w:hint="eastAsia" w:ascii="Times New Roman" w:hAnsi="Times New Roman" w:eastAsia="楷体"/>
          <w:sz w:val="24"/>
          <w:highlight w:val="none"/>
        </w:rPr>
        <w:t>所有已完成产品均为 R0→ 状态 = 稳定（S0）</w:t>
      </w:r>
    </w:p>
    <w:p w14:paraId="5FE4B4DB">
      <w:pPr>
        <w:spacing w:line="288" w:lineRule="auto"/>
        <w:ind w:firstLine="480" w:firstLineChars="200"/>
        <w:rPr>
          <w:rFonts w:hint="default" w:ascii="Times New Roman" w:hAnsi="Times New Roman" w:eastAsia="楷体"/>
          <w:sz w:val="24"/>
          <w:highlight w:val="none"/>
          <w:lang w:val="en-US" w:eastAsia="zh-CN"/>
        </w:rPr>
      </w:pPr>
      <w:r>
        <w:rPr>
          <w:rFonts w:hint="eastAsia" w:ascii="Times New Roman" w:hAnsi="Times New Roman" w:eastAsia="楷体"/>
          <w:sz w:val="24"/>
          <w:highlight w:val="none"/>
          <w:lang w:val="en-US" w:eastAsia="zh-CN"/>
        </w:rPr>
        <w:t>b. 趋势结果判定</w:t>
      </w:r>
    </w:p>
    <w:p w14:paraId="2CC9EE37">
      <w:pPr>
        <w:spacing w:line="288" w:lineRule="auto"/>
        <w:ind w:firstLine="480" w:firstLineChars="200"/>
        <w:rPr>
          <w:rFonts w:ascii="Times New Roman" w:hAnsi="Times New Roman" w:eastAsia="楷体"/>
          <w:sz w:val="24"/>
          <w:highlight w:val="none"/>
        </w:rPr>
      </w:pPr>
      <w:r>
        <w:rPr>
          <w:rFonts w:hint="eastAsia" w:ascii="Times New Roman" w:hAnsi="Times New Roman" w:eastAsia="楷体"/>
          <w:sz w:val="24"/>
          <w:highlight w:val="none"/>
          <w:lang w:val="en-US" w:eastAsia="zh-CN"/>
        </w:rPr>
        <w:t>在前一周期本二级标题未生成明确的S0-S3状态</w:t>
      </w:r>
      <w:r>
        <w:rPr>
          <w:rFonts w:hint="eastAsia" w:ascii="Times New Roman" w:hAnsi="Times New Roman" w:eastAsia="楷体"/>
          <w:sz w:val="24"/>
          <w:highlight w:val="none"/>
        </w:rPr>
        <w:t>→数据不足，暂无法判断趋势</w:t>
      </w:r>
    </w:p>
    <w:p w14:paraId="3FFF6E85">
      <w:pPr>
        <w:spacing w:line="288" w:lineRule="auto"/>
        <w:ind w:firstLine="480" w:firstLineChars="200"/>
        <w:rPr>
          <w:rFonts w:hint="default" w:ascii="Times New Roman" w:hAnsi="Times New Roman" w:eastAsia="楷体"/>
          <w:sz w:val="24"/>
          <w:highlight w:val="yellow"/>
          <w:lang w:val="en-US" w:eastAsia="zh-CN"/>
        </w:rPr>
      </w:pPr>
      <w:r>
        <w:rPr>
          <w:rFonts w:hint="eastAsia" w:ascii="Times New Roman" w:hAnsi="Times New Roman" w:eastAsia="楷体"/>
          <w:sz w:val="24"/>
          <w:highlight w:val="none"/>
          <w:lang w:val="en-US" w:eastAsia="zh-CN"/>
        </w:rPr>
        <w:t>在前一周期本二级标题生成明确的S0-S3状态，依据以下表格进行判断</w:t>
      </w:r>
    </w:p>
    <w:tbl>
      <w:tblPr>
        <w:tblStyle w:val="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35"/>
        <w:gridCol w:w="1881"/>
        <w:gridCol w:w="1951"/>
      </w:tblGrid>
      <w:tr w14:paraId="75EF5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1590" w:type="dxa"/>
            <w:vAlign w:val="center"/>
          </w:tcPr>
          <w:p w14:paraId="76D1C0CB">
            <w:pPr>
              <w:spacing w:line="288" w:lineRule="auto"/>
              <w:rPr>
                <w:rFonts w:ascii="Times New Roman" w:hAnsi="Times New Roman" w:eastAsia="楷体"/>
                <w:sz w:val="24"/>
              </w:rPr>
            </w:pPr>
            <w:r>
              <w:rPr>
                <w:rFonts w:ascii="Times New Roman" w:hAnsi="Times New Roman" w:eastAsia="楷体"/>
                <w:sz w:val="24"/>
              </w:rPr>
              <w:t>上一周期 Sₜ₋₁</w:t>
            </w:r>
          </w:p>
        </w:tc>
        <w:tc>
          <w:tcPr>
            <w:tcW w:w="1851" w:type="dxa"/>
            <w:vAlign w:val="center"/>
          </w:tcPr>
          <w:p w14:paraId="1371B4D4">
            <w:pPr>
              <w:spacing w:line="288" w:lineRule="auto"/>
              <w:rPr>
                <w:rFonts w:ascii="Times New Roman" w:hAnsi="Times New Roman" w:eastAsia="楷体"/>
                <w:sz w:val="24"/>
              </w:rPr>
            </w:pPr>
            <w:r>
              <w:rPr>
                <w:rFonts w:ascii="Times New Roman" w:hAnsi="Times New Roman" w:eastAsia="楷体"/>
                <w:sz w:val="24"/>
              </w:rPr>
              <w:t>本周期 Sₜ</w:t>
            </w:r>
          </w:p>
        </w:tc>
        <w:tc>
          <w:tcPr>
            <w:tcW w:w="1906" w:type="dxa"/>
            <w:vAlign w:val="center"/>
          </w:tcPr>
          <w:p w14:paraId="475FC8F0">
            <w:pPr>
              <w:spacing w:line="288" w:lineRule="auto"/>
              <w:rPr>
                <w:rFonts w:ascii="Times New Roman" w:hAnsi="Times New Roman" w:eastAsia="楷体"/>
                <w:sz w:val="24"/>
              </w:rPr>
            </w:pPr>
            <w:r>
              <w:rPr>
                <w:rFonts w:ascii="Times New Roman" w:hAnsi="Times New Roman" w:eastAsia="楷体"/>
                <w:sz w:val="24"/>
              </w:rPr>
              <w:t>输出</w:t>
            </w:r>
          </w:p>
        </w:tc>
      </w:tr>
      <w:tr w14:paraId="447DD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590" w:type="dxa"/>
            <w:vAlign w:val="center"/>
          </w:tcPr>
          <w:p w14:paraId="77878C90">
            <w:pPr>
              <w:spacing w:line="288" w:lineRule="auto"/>
              <w:rPr>
                <w:rFonts w:ascii="Times New Roman" w:hAnsi="Times New Roman" w:eastAsia="楷体"/>
                <w:sz w:val="24"/>
              </w:rPr>
            </w:pPr>
            <w:r>
              <w:rPr>
                <w:rFonts w:ascii="Times New Roman" w:hAnsi="Times New Roman" w:eastAsia="楷体"/>
                <w:sz w:val="24"/>
              </w:rPr>
              <w:t>S0 稳定</w:t>
            </w:r>
          </w:p>
        </w:tc>
        <w:tc>
          <w:tcPr>
            <w:tcW w:w="1851" w:type="dxa"/>
            <w:vAlign w:val="center"/>
          </w:tcPr>
          <w:p w14:paraId="389ED61A">
            <w:pPr>
              <w:spacing w:line="288" w:lineRule="auto"/>
              <w:rPr>
                <w:rFonts w:ascii="Times New Roman" w:hAnsi="Times New Roman" w:eastAsia="楷体"/>
                <w:sz w:val="24"/>
              </w:rPr>
            </w:pPr>
            <w:r>
              <w:rPr>
                <w:rFonts w:ascii="Times New Roman" w:hAnsi="Times New Roman" w:eastAsia="楷体"/>
                <w:sz w:val="24"/>
              </w:rPr>
              <w:t>S0 稳定</w:t>
            </w:r>
          </w:p>
        </w:tc>
        <w:tc>
          <w:tcPr>
            <w:tcW w:w="1906" w:type="dxa"/>
            <w:vAlign w:val="center"/>
          </w:tcPr>
          <w:p w14:paraId="3FEFC912">
            <w:pPr>
              <w:spacing w:line="288" w:lineRule="auto"/>
              <w:rPr>
                <w:rFonts w:ascii="Times New Roman" w:hAnsi="Times New Roman" w:eastAsia="楷体"/>
                <w:sz w:val="24"/>
              </w:rPr>
            </w:pPr>
            <w:r>
              <w:rPr>
                <w:rFonts w:ascii="Times New Roman" w:hAnsi="Times New Roman" w:eastAsia="楷体"/>
                <w:sz w:val="24"/>
              </w:rPr>
              <w:t>趋势稳定</w:t>
            </w:r>
          </w:p>
        </w:tc>
      </w:tr>
      <w:tr w14:paraId="7D6D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590" w:type="dxa"/>
            <w:vAlign w:val="center"/>
          </w:tcPr>
          <w:p w14:paraId="7359FF34">
            <w:pPr>
              <w:spacing w:line="288" w:lineRule="auto"/>
              <w:rPr>
                <w:rFonts w:ascii="Times New Roman" w:hAnsi="Times New Roman" w:eastAsia="楷体"/>
                <w:sz w:val="24"/>
              </w:rPr>
            </w:pPr>
            <w:r>
              <w:rPr>
                <w:rFonts w:ascii="Times New Roman" w:hAnsi="Times New Roman" w:eastAsia="楷体"/>
                <w:sz w:val="24"/>
              </w:rPr>
              <w:t>S0 稳定</w:t>
            </w:r>
          </w:p>
        </w:tc>
        <w:tc>
          <w:tcPr>
            <w:tcW w:w="1851" w:type="dxa"/>
            <w:vAlign w:val="center"/>
          </w:tcPr>
          <w:p w14:paraId="6E0FEEAA">
            <w:pPr>
              <w:spacing w:line="288" w:lineRule="auto"/>
              <w:rPr>
                <w:rFonts w:ascii="Times New Roman" w:hAnsi="Times New Roman" w:eastAsia="楷体"/>
                <w:sz w:val="24"/>
              </w:rPr>
            </w:pPr>
            <w:r>
              <w:rPr>
                <w:rFonts w:ascii="Times New Roman" w:hAnsi="Times New Roman" w:eastAsia="楷体"/>
                <w:sz w:val="24"/>
              </w:rPr>
              <w:t>S1 波动</w:t>
            </w:r>
          </w:p>
        </w:tc>
        <w:tc>
          <w:tcPr>
            <w:tcW w:w="1906" w:type="dxa"/>
            <w:vAlign w:val="center"/>
          </w:tcPr>
          <w:p w14:paraId="4F8E972A">
            <w:pPr>
              <w:spacing w:line="288" w:lineRule="auto"/>
              <w:rPr>
                <w:rFonts w:ascii="Times New Roman" w:hAnsi="Times New Roman" w:eastAsia="楷体"/>
                <w:sz w:val="24"/>
              </w:rPr>
            </w:pPr>
            <w:r>
              <w:rPr>
                <w:rFonts w:ascii="Times New Roman" w:hAnsi="Times New Roman" w:eastAsia="楷体"/>
                <w:sz w:val="24"/>
              </w:rPr>
              <w:t>出现波动</w:t>
            </w:r>
          </w:p>
        </w:tc>
      </w:tr>
      <w:tr w14:paraId="0A795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590" w:type="dxa"/>
            <w:vAlign w:val="center"/>
          </w:tcPr>
          <w:p w14:paraId="03352CBF">
            <w:pPr>
              <w:spacing w:line="288" w:lineRule="auto"/>
              <w:rPr>
                <w:rFonts w:ascii="Times New Roman" w:hAnsi="Times New Roman" w:eastAsia="楷体"/>
                <w:sz w:val="24"/>
              </w:rPr>
            </w:pPr>
            <w:r>
              <w:rPr>
                <w:rFonts w:ascii="Times New Roman" w:hAnsi="Times New Roman" w:eastAsia="楷体"/>
                <w:sz w:val="24"/>
              </w:rPr>
              <w:t>S0 稳定</w:t>
            </w:r>
          </w:p>
        </w:tc>
        <w:tc>
          <w:tcPr>
            <w:tcW w:w="1851" w:type="dxa"/>
            <w:vAlign w:val="center"/>
          </w:tcPr>
          <w:p w14:paraId="6419290F">
            <w:pPr>
              <w:spacing w:line="288" w:lineRule="auto"/>
              <w:rPr>
                <w:rFonts w:ascii="Times New Roman" w:hAnsi="Times New Roman" w:eastAsia="楷体"/>
                <w:sz w:val="24"/>
              </w:rPr>
            </w:pPr>
            <w:r>
              <w:rPr>
                <w:rFonts w:ascii="Times New Roman" w:hAnsi="Times New Roman" w:eastAsia="楷体"/>
                <w:sz w:val="24"/>
              </w:rPr>
              <w:t>S2 累积</w:t>
            </w:r>
          </w:p>
        </w:tc>
        <w:tc>
          <w:tcPr>
            <w:tcW w:w="1906" w:type="dxa"/>
            <w:vAlign w:val="center"/>
          </w:tcPr>
          <w:p w14:paraId="5435FFAD">
            <w:pPr>
              <w:spacing w:line="288" w:lineRule="auto"/>
              <w:rPr>
                <w:rFonts w:ascii="Times New Roman" w:hAnsi="Times New Roman" w:eastAsia="楷体"/>
                <w:sz w:val="24"/>
              </w:rPr>
            </w:pPr>
            <w:r>
              <w:rPr>
                <w:rFonts w:ascii="Times New Roman" w:hAnsi="Times New Roman" w:eastAsia="楷体"/>
                <w:sz w:val="24"/>
              </w:rPr>
              <w:t>风险累积</w:t>
            </w:r>
          </w:p>
        </w:tc>
      </w:tr>
      <w:tr w14:paraId="2E24C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590" w:type="dxa"/>
            <w:vAlign w:val="center"/>
          </w:tcPr>
          <w:p w14:paraId="1B4D06D5">
            <w:pPr>
              <w:spacing w:line="288" w:lineRule="auto"/>
              <w:rPr>
                <w:rFonts w:ascii="Times New Roman" w:hAnsi="Times New Roman" w:eastAsia="楷体"/>
                <w:sz w:val="24"/>
              </w:rPr>
            </w:pPr>
            <w:r>
              <w:rPr>
                <w:rFonts w:ascii="Times New Roman" w:hAnsi="Times New Roman" w:eastAsia="楷体"/>
                <w:sz w:val="24"/>
              </w:rPr>
              <w:t>S0 稳定</w:t>
            </w:r>
          </w:p>
        </w:tc>
        <w:tc>
          <w:tcPr>
            <w:tcW w:w="1851" w:type="dxa"/>
            <w:vAlign w:val="center"/>
          </w:tcPr>
          <w:p w14:paraId="3A2C5F1A">
            <w:pPr>
              <w:spacing w:line="288" w:lineRule="auto"/>
              <w:rPr>
                <w:rFonts w:ascii="Times New Roman" w:hAnsi="Times New Roman" w:eastAsia="楷体"/>
                <w:sz w:val="24"/>
              </w:rPr>
            </w:pPr>
            <w:r>
              <w:rPr>
                <w:rFonts w:ascii="Times New Roman" w:hAnsi="Times New Roman" w:eastAsia="楷体"/>
                <w:sz w:val="24"/>
              </w:rPr>
              <w:t>S3 高风险</w:t>
            </w:r>
          </w:p>
        </w:tc>
        <w:tc>
          <w:tcPr>
            <w:tcW w:w="1906" w:type="dxa"/>
            <w:vAlign w:val="center"/>
          </w:tcPr>
          <w:p w14:paraId="2ABAC7A3">
            <w:pPr>
              <w:spacing w:line="288" w:lineRule="auto"/>
              <w:rPr>
                <w:rFonts w:ascii="Times New Roman" w:hAnsi="Times New Roman" w:eastAsia="楷体"/>
                <w:sz w:val="24"/>
              </w:rPr>
            </w:pPr>
            <w:r>
              <w:rPr>
                <w:rFonts w:ascii="Times New Roman" w:hAnsi="Times New Roman" w:eastAsia="楷体"/>
                <w:sz w:val="24"/>
              </w:rPr>
              <w:t>风险累积</w:t>
            </w:r>
          </w:p>
        </w:tc>
      </w:tr>
      <w:tr w14:paraId="4B28D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590" w:type="dxa"/>
            <w:vAlign w:val="center"/>
          </w:tcPr>
          <w:p w14:paraId="64C7BBC9">
            <w:pPr>
              <w:spacing w:line="288" w:lineRule="auto"/>
              <w:rPr>
                <w:rFonts w:ascii="Times New Roman" w:hAnsi="Times New Roman" w:eastAsia="楷体"/>
                <w:sz w:val="24"/>
              </w:rPr>
            </w:pPr>
            <w:r>
              <w:rPr>
                <w:rFonts w:ascii="Times New Roman" w:hAnsi="Times New Roman" w:eastAsia="楷体"/>
                <w:sz w:val="24"/>
              </w:rPr>
              <w:t>S1 波动</w:t>
            </w:r>
          </w:p>
        </w:tc>
        <w:tc>
          <w:tcPr>
            <w:tcW w:w="1851" w:type="dxa"/>
            <w:vAlign w:val="center"/>
          </w:tcPr>
          <w:p w14:paraId="2B48C084">
            <w:pPr>
              <w:spacing w:line="288" w:lineRule="auto"/>
              <w:rPr>
                <w:rFonts w:ascii="Times New Roman" w:hAnsi="Times New Roman" w:eastAsia="楷体"/>
                <w:sz w:val="24"/>
              </w:rPr>
            </w:pPr>
            <w:r>
              <w:rPr>
                <w:rFonts w:ascii="Times New Roman" w:hAnsi="Times New Roman" w:eastAsia="楷体"/>
                <w:sz w:val="24"/>
              </w:rPr>
              <w:t>S0 稳定</w:t>
            </w:r>
          </w:p>
        </w:tc>
        <w:tc>
          <w:tcPr>
            <w:tcW w:w="1906" w:type="dxa"/>
            <w:vAlign w:val="center"/>
          </w:tcPr>
          <w:p w14:paraId="66877DA9">
            <w:pPr>
              <w:spacing w:line="288" w:lineRule="auto"/>
              <w:rPr>
                <w:rFonts w:ascii="Times New Roman" w:hAnsi="Times New Roman" w:eastAsia="楷体"/>
                <w:sz w:val="24"/>
              </w:rPr>
            </w:pPr>
            <w:r>
              <w:rPr>
                <w:rFonts w:ascii="Times New Roman" w:hAnsi="Times New Roman" w:eastAsia="楷体"/>
                <w:sz w:val="24"/>
              </w:rPr>
              <w:t>趋势改善</w:t>
            </w:r>
          </w:p>
        </w:tc>
      </w:tr>
      <w:tr w14:paraId="1A7BB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590" w:type="dxa"/>
            <w:vAlign w:val="center"/>
          </w:tcPr>
          <w:p w14:paraId="56E59A7C">
            <w:pPr>
              <w:spacing w:line="288" w:lineRule="auto"/>
              <w:rPr>
                <w:rFonts w:ascii="Times New Roman" w:hAnsi="Times New Roman" w:eastAsia="楷体"/>
                <w:sz w:val="24"/>
              </w:rPr>
            </w:pPr>
            <w:r>
              <w:rPr>
                <w:rFonts w:ascii="Times New Roman" w:hAnsi="Times New Roman" w:eastAsia="楷体"/>
                <w:sz w:val="24"/>
              </w:rPr>
              <w:t>S1 波动</w:t>
            </w:r>
          </w:p>
        </w:tc>
        <w:tc>
          <w:tcPr>
            <w:tcW w:w="1851" w:type="dxa"/>
            <w:vAlign w:val="center"/>
          </w:tcPr>
          <w:p w14:paraId="51AB30EC">
            <w:pPr>
              <w:spacing w:line="288" w:lineRule="auto"/>
              <w:rPr>
                <w:rFonts w:ascii="Times New Roman" w:hAnsi="Times New Roman" w:eastAsia="楷体"/>
                <w:sz w:val="24"/>
              </w:rPr>
            </w:pPr>
            <w:r>
              <w:rPr>
                <w:rFonts w:ascii="Times New Roman" w:hAnsi="Times New Roman" w:eastAsia="楷体"/>
                <w:sz w:val="24"/>
              </w:rPr>
              <w:t>S1 波动</w:t>
            </w:r>
          </w:p>
        </w:tc>
        <w:tc>
          <w:tcPr>
            <w:tcW w:w="1906" w:type="dxa"/>
            <w:vAlign w:val="center"/>
          </w:tcPr>
          <w:p w14:paraId="50527CDA">
            <w:pPr>
              <w:spacing w:line="288" w:lineRule="auto"/>
              <w:rPr>
                <w:rFonts w:ascii="Times New Roman" w:hAnsi="Times New Roman" w:eastAsia="楷体"/>
                <w:sz w:val="24"/>
              </w:rPr>
            </w:pPr>
            <w:r>
              <w:rPr>
                <w:rFonts w:ascii="Times New Roman" w:hAnsi="Times New Roman" w:eastAsia="楷体"/>
                <w:sz w:val="24"/>
              </w:rPr>
              <w:t>出现波动</w:t>
            </w:r>
          </w:p>
        </w:tc>
      </w:tr>
      <w:tr w14:paraId="3E094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590" w:type="dxa"/>
            <w:vAlign w:val="center"/>
          </w:tcPr>
          <w:p w14:paraId="3727EB3C">
            <w:pPr>
              <w:spacing w:line="288" w:lineRule="auto"/>
              <w:rPr>
                <w:rFonts w:ascii="Times New Roman" w:hAnsi="Times New Roman" w:eastAsia="楷体"/>
                <w:sz w:val="24"/>
              </w:rPr>
            </w:pPr>
            <w:r>
              <w:rPr>
                <w:rFonts w:ascii="Times New Roman" w:hAnsi="Times New Roman" w:eastAsia="楷体"/>
                <w:sz w:val="24"/>
              </w:rPr>
              <w:t>S1 波动</w:t>
            </w:r>
          </w:p>
        </w:tc>
        <w:tc>
          <w:tcPr>
            <w:tcW w:w="1851" w:type="dxa"/>
            <w:vAlign w:val="center"/>
          </w:tcPr>
          <w:p w14:paraId="4FDFB662">
            <w:pPr>
              <w:spacing w:line="288" w:lineRule="auto"/>
              <w:rPr>
                <w:rFonts w:ascii="Times New Roman" w:hAnsi="Times New Roman" w:eastAsia="楷体"/>
                <w:sz w:val="24"/>
              </w:rPr>
            </w:pPr>
            <w:r>
              <w:rPr>
                <w:rFonts w:ascii="Times New Roman" w:hAnsi="Times New Roman" w:eastAsia="楷体"/>
                <w:sz w:val="24"/>
              </w:rPr>
              <w:t>S2 累积</w:t>
            </w:r>
          </w:p>
        </w:tc>
        <w:tc>
          <w:tcPr>
            <w:tcW w:w="1906" w:type="dxa"/>
            <w:vAlign w:val="center"/>
          </w:tcPr>
          <w:p w14:paraId="300C9FB5">
            <w:pPr>
              <w:spacing w:line="288" w:lineRule="auto"/>
              <w:rPr>
                <w:rFonts w:ascii="Times New Roman" w:hAnsi="Times New Roman" w:eastAsia="楷体"/>
                <w:sz w:val="24"/>
              </w:rPr>
            </w:pPr>
            <w:r>
              <w:rPr>
                <w:rFonts w:ascii="Times New Roman" w:hAnsi="Times New Roman" w:eastAsia="楷体"/>
                <w:sz w:val="24"/>
              </w:rPr>
              <w:t>风险累积</w:t>
            </w:r>
          </w:p>
        </w:tc>
      </w:tr>
      <w:tr w14:paraId="3CD21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590" w:type="dxa"/>
            <w:vAlign w:val="center"/>
          </w:tcPr>
          <w:p w14:paraId="31CD6059">
            <w:pPr>
              <w:spacing w:line="288" w:lineRule="auto"/>
              <w:rPr>
                <w:rFonts w:ascii="Times New Roman" w:hAnsi="Times New Roman" w:eastAsia="楷体"/>
                <w:sz w:val="24"/>
              </w:rPr>
            </w:pPr>
            <w:r>
              <w:rPr>
                <w:rFonts w:ascii="Times New Roman" w:hAnsi="Times New Roman" w:eastAsia="楷体"/>
                <w:sz w:val="24"/>
              </w:rPr>
              <w:t>S1 波动</w:t>
            </w:r>
          </w:p>
        </w:tc>
        <w:tc>
          <w:tcPr>
            <w:tcW w:w="1851" w:type="dxa"/>
            <w:vAlign w:val="center"/>
          </w:tcPr>
          <w:p w14:paraId="3ED8B24C">
            <w:pPr>
              <w:spacing w:line="288" w:lineRule="auto"/>
              <w:rPr>
                <w:rFonts w:ascii="Times New Roman" w:hAnsi="Times New Roman" w:eastAsia="楷体"/>
                <w:sz w:val="24"/>
              </w:rPr>
            </w:pPr>
            <w:r>
              <w:rPr>
                <w:rFonts w:ascii="Times New Roman" w:hAnsi="Times New Roman" w:eastAsia="楷体"/>
                <w:sz w:val="24"/>
              </w:rPr>
              <w:t>S3 高风险</w:t>
            </w:r>
          </w:p>
        </w:tc>
        <w:tc>
          <w:tcPr>
            <w:tcW w:w="1906" w:type="dxa"/>
            <w:vAlign w:val="center"/>
          </w:tcPr>
          <w:p w14:paraId="19C1F818">
            <w:pPr>
              <w:spacing w:line="288" w:lineRule="auto"/>
              <w:rPr>
                <w:rFonts w:ascii="Times New Roman" w:hAnsi="Times New Roman" w:eastAsia="楷体"/>
                <w:sz w:val="24"/>
              </w:rPr>
            </w:pPr>
            <w:r>
              <w:rPr>
                <w:rFonts w:ascii="Times New Roman" w:hAnsi="Times New Roman" w:eastAsia="楷体"/>
                <w:sz w:val="24"/>
              </w:rPr>
              <w:t>风险累积</w:t>
            </w:r>
          </w:p>
        </w:tc>
      </w:tr>
      <w:tr w14:paraId="78744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590" w:type="dxa"/>
            <w:vAlign w:val="center"/>
          </w:tcPr>
          <w:p w14:paraId="7AF7B14B">
            <w:pPr>
              <w:spacing w:line="288" w:lineRule="auto"/>
              <w:rPr>
                <w:rFonts w:ascii="Times New Roman" w:hAnsi="Times New Roman" w:eastAsia="楷体"/>
                <w:sz w:val="24"/>
              </w:rPr>
            </w:pPr>
            <w:r>
              <w:rPr>
                <w:rFonts w:ascii="Times New Roman" w:hAnsi="Times New Roman" w:eastAsia="楷体"/>
                <w:sz w:val="24"/>
              </w:rPr>
              <w:t>S2 累积</w:t>
            </w:r>
          </w:p>
        </w:tc>
        <w:tc>
          <w:tcPr>
            <w:tcW w:w="1851" w:type="dxa"/>
            <w:vAlign w:val="center"/>
          </w:tcPr>
          <w:p w14:paraId="18BAD811">
            <w:pPr>
              <w:spacing w:line="288" w:lineRule="auto"/>
              <w:rPr>
                <w:rFonts w:ascii="Times New Roman" w:hAnsi="Times New Roman" w:eastAsia="楷体"/>
                <w:sz w:val="24"/>
              </w:rPr>
            </w:pPr>
            <w:r>
              <w:rPr>
                <w:rFonts w:ascii="Times New Roman" w:hAnsi="Times New Roman" w:eastAsia="楷体"/>
                <w:sz w:val="24"/>
              </w:rPr>
              <w:t>S0 稳定</w:t>
            </w:r>
          </w:p>
        </w:tc>
        <w:tc>
          <w:tcPr>
            <w:tcW w:w="1906" w:type="dxa"/>
            <w:vAlign w:val="center"/>
          </w:tcPr>
          <w:p w14:paraId="2F76385B">
            <w:pPr>
              <w:spacing w:line="288" w:lineRule="auto"/>
              <w:rPr>
                <w:rFonts w:ascii="Times New Roman" w:hAnsi="Times New Roman" w:eastAsia="楷体"/>
                <w:sz w:val="24"/>
              </w:rPr>
            </w:pPr>
            <w:r>
              <w:rPr>
                <w:rFonts w:ascii="Times New Roman" w:hAnsi="Times New Roman" w:eastAsia="楷体"/>
                <w:sz w:val="24"/>
              </w:rPr>
              <w:t>趋势改善</w:t>
            </w:r>
          </w:p>
        </w:tc>
      </w:tr>
      <w:tr w14:paraId="2A2E9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590" w:type="dxa"/>
            <w:vAlign w:val="center"/>
          </w:tcPr>
          <w:p w14:paraId="088CD5E7">
            <w:pPr>
              <w:spacing w:line="288" w:lineRule="auto"/>
              <w:rPr>
                <w:rFonts w:ascii="Times New Roman" w:hAnsi="Times New Roman" w:eastAsia="楷体"/>
                <w:sz w:val="24"/>
              </w:rPr>
            </w:pPr>
            <w:r>
              <w:rPr>
                <w:rFonts w:ascii="Times New Roman" w:hAnsi="Times New Roman" w:eastAsia="楷体"/>
                <w:sz w:val="24"/>
              </w:rPr>
              <w:t>S2 累积</w:t>
            </w:r>
          </w:p>
        </w:tc>
        <w:tc>
          <w:tcPr>
            <w:tcW w:w="1851" w:type="dxa"/>
            <w:vAlign w:val="center"/>
          </w:tcPr>
          <w:p w14:paraId="015D1A17">
            <w:pPr>
              <w:spacing w:line="288" w:lineRule="auto"/>
              <w:rPr>
                <w:rFonts w:ascii="Times New Roman" w:hAnsi="Times New Roman" w:eastAsia="楷体"/>
                <w:sz w:val="24"/>
              </w:rPr>
            </w:pPr>
            <w:r>
              <w:rPr>
                <w:rFonts w:ascii="Times New Roman" w:hAnsi="Times New Roman" w:eastAsia="楷体"/>
                <w:sz w:val="24"/>
              </w:rPr>
              <w:t>S1 波动</w:t>
            </w:r>
          </w:p>
        </w:tc>
        <w:tc>
          <w:tcPr>
            <w:tcW w:w="1906" w:type="dxa"/>
            <w:vAlign w:val="center"/>
          </w:tcPr>
          <w:p w14:paraId="2FADF61F">
            <w:pPr>
              <w:spacing w:line="288" w:lineRule="auto"/>
              <w:rPr>
                <w:rFonts w:ascii="Times New Roman" w:hAnsi="Times New Roman" w:eastAsia="楷体"/>
                <w:sz w:val="24"/>
              </w:rPr>
            </w:pPr>
            <w:r>
              <w:rPr>
                <w:rFonts w:ascii="Times New Roman" w:hAnsi="Times New Roman" w:eastAsia="楷体"/>
                <w:sz w:val="24"/>
              </w:rPr>
              <w:t>趋势改善</w:t>
            </w:r>
          </w:p>
        </w:tc>
      </w:tr>
      <w:tr w14:paraId="6F834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590" w:type="dxa"/>
            <w:vAlign w:val="center"/>
          </w:tcPr>
          <w:p w14:paraId="278ABFA7">
            <w:pPr>
              <w:spacing w:line="288" w:lineRule="auto"/>
              <w:rPr>
                <w:rFonts w:ascii="Times New Roman" w:hAnsi="Times New Roman" w:eastAsia="楷体"/>
                <w:sz w:val="24"/>
              </w:rPr>
            </w:pPr>
            <w:r>
              <w:rPr>
                <w:rFonts w:ascii="Times New Roman" w:hAnsi="Times New Roman" w:eastAsia="楷体"/>
                <w:sz w:val="24"/>
              </w:rPr>
              <w:t>S2 累积</w:t>
            </w:r>
          </w:p>
        </w:tc>
        <w:tc>
          <w:tcPr>
            <w:tcW w:w="1851" w:type="dxa"/>
            <w:vAlign w:val="center"/>
          </w:tcPr>
          <w:p w14:paraId="6B21E70A">
            <w:pPr>
              <w:spacing w:line="288" w:lineRule="auto"/>
              <w:rPr>
                <w:rFonts w:ascii="Times New Roman" w:hAnsi="Times New Roman" w:eastAsia="楷体"/>
                <w:sz w:val="24"/>
              </w:rPr>
            </w:pPr>
            <w:r>
              <w:rPr>
                <w:rFonts w:ascii="Times New Roman" w:hAnsi="Times New Roman" w:eastAsia="楷体"/>
                <w:sz w:val="24"/>
              </w:rPr>
              <w:t>S2 累积</w:t>
            </w:r>
          </w:p>
        </w:tc>
        <w:tc>
          <w:tcPr>
            <w:tcW w:w="1906" w:type="dxa"/>
            <w:vAlign w:val="center"/>
          </w:tcPr>
          <w:p w14:paraId="16F1AE41">
            <w:pPr>
              <w:spacing w:line="288" w:lineRule="auto"/>
              <w:rPr>
                <w:rFonts w:ascii="Times New Roman" w:hAnsi="Times New Roman" w:eastAsia="楷体"/>
                <w:sz w:val="24"/>
              </w:rPr>
            </w:pPr>
            <w:r>
              <w:rPr>
                <w:rFonts w:ascii="Times New Roman" w:hAnsi="Times New Roman" w:eastAsia="楷体"/>
                <w:sz w:val="24"/>
              </w:rPr>
              <w:t>风险累积</w:t>
            </w:r>
          </w:p>
        </w:tc>
      </w:tr>
      <w:tr w14:paraId="55C14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590" w:type="dxa"/>
            <w:vAlign w:val="center"/>
          </w:tcPr>
          <w:p w14:paraId="592DAD99">
            <w:pPr>
              <w:spacing w:line="288" w:lineRule="auto"/>
              <w:rPr>
                <w:rFonts w:ascii="Times New Roman" w:hAnsi="Times New Roman" w:eastAsia="楷体"/>
                <w:sz w:val="24"/>
              </w:rPr>
            </w:pPr>
            <w:r>
              <w:rPr>
                <w:rFonts w:ascii="Times New Roman" w:hAnsi="Times New Roman" w:eastAsia="楷体"/>
                <w:sz w:val="24"/>
              </w:rPr>
              <w:t>S2 累积</w:t>
            </w:r>
          </w:p>
        </w:tc>
        <w:tc>
          <w:tcPr>
            <w:tcW w:w="1851" w:type="dxa"/>
            <w:vAlign w:val="center"/>
          </w:tcPr>
          <w:p w14:paraId="7B6675B9">
            <w:pPr>
              <w:spacing w:line="288" w:lineRule="auto"/>
              <w:rPr>
                <w:rFonts w:ascii="Times New Roman" w:hAnsi="Times New Roman" w:eastAsia="楷体"/>
                <w:sz w:val="24"/>
              </w:rPr>
            </w:pPr>
            <w:r>
              <w:rPr>
                <w:rFonts w:ascii="Times New Roman" w:hAnsi="Times New Roman" w:eastAsia="楷体"/>
                <w:sz w:val="24"/>
              </w:rPr>
              <w:t>S3 高风险</w:t>
            </w:r>
          </w:p>
        </w:tc>
        <w:tc>
          <w:tcPr>
            <w:tcW w:w="1906" w:type="dxa"/>
            <w:vAlign w:val="center"/>
          </w:tcPr>
          <w:p w14:paraId="36A84A67">
            <w:pPr>
              <w:spacing w:line="288" w:lineRule="auto"/>
              <w:rPr>
                <w:rFonts w:ascii="Times New Roman" w:hAnsi="Times New Roman" w:eastAsia="楷体"/>
                <w:sz w:val="24"/>
              </w:rPr>
            </w:pPr>
            <w:r>
              <w:rPr>
                <w:rFonts w:ascii="Times New Roman" w:hAnsi="Times New Roman" w:eastAsia="楷体"/>
                <w:sz w:val="24"/>
              </w:rPr>
              <w:t>风险累积</w:t>
            </w:r>
          </w:p>
        </w:tc>
      </w:tr>
      <w:tr w14:paraId="08034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590" w:type="dxa"/>
            <w:vAlign w:val="center"/>
          </w:tcPr>
          <w:p w14:paraId="74D36C44">
            <w:pPr>
              <w:spacing w:line="288" w:lineRule="auto"/>
              <w:rPr>
                <w:rFonts w:ascii="Times New Roman" w:hAnsi="Times New Roman" w:eastAsia="楷体"/>
                <w:sz w:val="24"/>
              </w:rPr>
            </w:pPr>
            <w:r>
              <w:rPr>
                <w:rFonts w:ascii="Times New Roman" w:hAnsi="Times New Roman" w:eastAsia="楷体"/>
                <w:sz w:val="24"/>
              </w:rPr>
              <w:t>S3 高风险</w:t>
            </w:r>
          </w:p>
        </w:tc>
        <w:tc>
          <w:tcPr>
            <w:tcW w:w="1851" w:type="dxa"/>
            <w:vAlign w:val="center"/>
          </w:tcPr>
          <w:p w14:paraId="0E685294">
            <w:pPr>
              <w:spacing w:line="288" w:lineRule="auto"/>
              <w:rPr>
                <w:rFonts w:ascii="Times New Roman" w:hAnsi="Times New Roman" w:eastAsia="楷体"/>
                <w:sz w:val="24"/>
              </w:rPr>
            </w:pPr>
            <w:r>
              <w:rPr>
                <w:rFonts w:ascii="Times New Roman" w:hAnsi="Times New Roman" w:eastAsia="楷体"/>
                <w:sz w:val="24"/>
              </w:rPr>
              <w:t>S3 高风险</w:t>
            </w:r>
          </w:p>
        </w:tc>
        <w:tc>
          <w:tcPr>
            <w:tcW w:w="1906" w:type="dxa"/>
            <w:vAlign w:val="center"/>
          </w:tcPr>
          <w:p w14:paraId="6D848FBF">
            <w:pPr>
              <w:spacing w:line="288" w:lineRule="auto"/>
              <w:rPr>
                <w:rFonts w:ascii="Times New Roman" w:hAnsi="Times New Roman" w:eastAsia="楷体"/>
                <w:sz w:val="24"/>
              </w:rPr>
            </w:pPr>
            <w:r>
              <w:rPr>
                <w:rFonts w:ascii="Times New Roman" w:hAnsi="Times New Roman" w:eastAsia="楷体"/>
                <w:sz w:val="24"/>
              </w:rPr>
              <w:t>风险累积</w:t>
            </w:r>
          </w:p>
        </w:tc>
      </w:tr>
      <w:tr w14:paraId="19A06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590" w:type="dxa"/>
            <w:vAlign w:val="center"/>
          </w:tcPr>
          <w:p w14:paraId="650944E9">
            <w:pPr>
              <w:spacing w:line="288" w:lineRule="auto"/>
              <w:rPr>
                <w:rFonts w:ascii="Times New Roman" w:hAnsi="Times New Roman" w:eastAsia="楷体"/>
                <w:sz w:val="24"/>
              </w:rPr>
            </w:pPr>
            <w:r>
              <w:rPr>
                <w:rFonts w:ascii="Times New Roman" w:hAnsi="Times New Roman" w:eastAsia="楷体"/>
                <w:sz w:val="24"/>
              </w:rPr>
              <w:t>S3 高风险</w:t>
            </w:r>
          </w:p>
        </w:tc>
        <w:tc>
          <w:tcPr>
            <w:tcW w:w="1851" w:type="dxa"/>
            <w:vAlign w:val="center"/>
          </w:tcPr>
          <w:p w14:paraId="7CAE6BDB">
            <w:pPr>
              <w:spacing w:line="288" w:lineRule="auto"/>
              <w:rPr>
                <w:rFonts w:ascii="Times New Roman" w:hAnsi="Times New Roman" w:eastAsia="楷体"/>
                <w:sz w:val="24"/>
              </w:rPr>
            </w:pPr>
            <w:r>
              <w:rPr>
                <w:rFonts w:ascii="Times New Roman" w:hAnsi="Times New Roman" w:eastAsia="楷体"/>
                <w:sz w:val="24"/>
              </w:rPr>
              <w:t>S2 / S1</w:t>
            </w:r>
          </w:p>
        </w:tc>
        <w:tc>
          <w:tcPr>
            <w:tcW w:w="1906" w:type="dxa"/>
            <w:vAlign w:val="center"/>
          </w:tcPr>
          <w:p w14:paraId="3020D157">
            <w:pPr>
              <w:spacing w:line="288" w:lineRule="auto"/>
              <w:rPr>
                <w:rFonts w:ascii="Times New Roman" w:hAnsi="Times New Roman" w:eastAsia="楷体"/>
                <w:sz w:val="24"/>
              </w:rPr>
            </w:pPr>
            <w:r>
              <w:rPr>
                <w:rFonts w:ascii="Times New Roman" w:hAnsi="Times New Roman" w:eastAsia="楷体"/>
                <w:sz w:val="24"/>
              </w:rPr>
              <w:t>趋势改善</w:t>
            </w:r>
          </w:p>
        </w:tc>
      </w:tr>
      <w:tr w14:paraId="50697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590" w:type="dxa"/>
            <w:vAlign w:val="center"/>
          </w:tcPr>
          <w:p w14:paraId="207F182A">
            <w:pPr>
              <w:spacing w:line="288" w:lineRule="auto"/>
              <w:rPr>
                <w:rFonts w:ascii="Times New Roman" w:hAnsi="Times New Roman" w:eastAsia="楷体"/>
                <w:sz w:val="24"/>
              </w:rPr>
            </w:pPr>
            <w:r>
              <w:rPr>
                <w:rFonts w:ascii="Times New Roman" w:hAnsi="Times New Roman" w:eastAsia="楷体"/>
                <w:sz w:val="24"/>
              </w:rPr>
              <w:t>S3 高风险</w:t>
            </w:r>
          </w:p>
        </w:tc>
        <w:tc>
          <w:tcPr>
            <w:tcW w:w="1851" w:type="dxa"/>
            <w:vAlign w:val="center"/>
          </w:tcPr>
          <w:p w14:paraId="1D1A5002">
            <w:pPr>
              <w:spacing w:line="288" w:lineRule="auto"/>
              <w:rPr>
                <w:rFonts w:ascii="Times New Roman" w:hAnsi="Times New Roman" w:eastAsia="楷体"/>
                <w:sz w:val="24"/>
              </w:rPr>
            </w:pPr>
            <w:r>
              <w:rPr>
                <w:rFonts w:ascii="Times New Roman" w:hAnsi="Times New Roman" w:eastAsia="楷体"/>
                <w:sz w:val="24"/>
              </w:rPr>
              <w:t>S0 稳定</w:t>
            </w:r>
          </w:p>
        </w:tc>
        <w:tc>
          <w:tcPr>
            <w:tcW w:w="1906" w:type="dxa"/>
            <w:vAlign w:val="center"/>
          </w:tcPr>
          <w:p w14:paraId="1EB5F0A6">
            <w:pPr>
              <w:spacing w:line="288" w:lineRule="auto"/>
              <w:rPr>
                <w:rFonts w:ascii="Times New Roman" w:hAnsi="Times New Roman" w:eastAsia="楷体"/>
                <w:sz w:val="24"/>
              </w:rPr>
            </w:pPr>
            <w:r>
              <w:rPr>
                <w:rFonts w:ascii="Times New Roman" w:hAnsi="Times New Roman" w:eastAsia="楷体"/>
                <w:sz w:val="24"/>
              </w:rPr>
              <w:t>趋势改善</w:t>
            </w:r>
          </w:p>
        </w:tc>
      </w:tr>
    </w:tbl>
    <w:p w14:paraId="3F4EFDF0">
      <w:pPr>
        <w:spacing w:line="288" w:lineRule="auto"/>
        <w:rPr>
          <w:rFonts w:ascii="Times New Roman" w:hAnsi="Times New Roman" w:eastAsia="楷体"/>
          <w:sz w:val="24"/>
        </w:rPr>
      </w:pPr>
    </w:p>
    <w:p w14:paraId="20CA0626">
      <w:pPr>
        <w:spacing w:line="288" w:lineRule="auto"/>
        <w:ind w:firstLine="480" w:firstLineChars="200"/>
        <w:rPr>
          <w:rFonts w:ascii="Times New Roman" w:hAnsi="Times New Roman" w:eastAsia="楷体"/>
          <w:sz w:val="24"/>
        </w:rPr>
      </w:pPr>
      <w:r>
        <w:rPr>
          <w:rFonts w:hint="eastAsia" w:ascii="Times New Roman" w:hAnsi="Times New Roman" w:eastAsia="楷体"/>
          <w:sz w:val="24"/>
        </w:rPr>
        <w:t>（</w:t>
      </w:r>
      <w:r>
        <w:rPr>
          <w:rFonts w:hint="eastAsia" w:ascii="Times New Roman" w:hAnsi="Times New Roman" w:eastAsia="楷体"/>
          <w:sz w:val="24"/>
          <w:lang w:val="en-US" w:eastAsia="zh-CN"/>
        </w:rPr>
        <w:t>2</w:t>
      </w:r>
      <w:r>
        <w:rPr>
          <w:rFonts w:hint="eastAsia" w:ascii="Times New Roman" w:hAnsi="Times New Roman" w:eastAsia="楷体"/>
          <w:sz w:val="24"/>
        </w:rPr>
        <w:t>）风险变化总结输出</w:t>
      </w:r>
    </w:p>
    <w:p w14:paraId="74D909BD">
      <w:pPr>
        <w:spacing w:line="288" w:lineRule="auto"/>
        <w:ind w:firstLine="480" w:firstLineChars="200"/>
        <w:rPr>
          <w:rFonts w:ascii="Times New Roman" w:hAnsi="Times New Roman" w:eastAsia="楷体"/>
          <w:sz w:val="24"/>
        </w:rPr>
      </w:pPr>
      <w:r>
        <w:rPr>
          <w:rFonts w:hint="eastAsia" w:ascii="Times New Roman" w:hAnsi="Times New Roman" w:eastAsia="楷体"/>
          <w:sz w:val="24"/>
        </w:rPr>
        <w:t>在前一周期本二级标题未生成明确的S0-S3状态→数据不足，暂无法判断趋势</w:t>
      </w:r>
    </w:p>
    <w:p w14:paraId="1F137E22">
      <w:pPr>
        <w:spacing w:line="288" w:lineRule="auto"/>
        <w:ind w:firstLine="480" w:firstLineChars="200"/>
        <w:rPr>
          <w:rFonts w:hint="eastAsia" w:ascii="Times New Roman" w:hAnsi="Times New Roman" w:eastAsia="楷体"/>
          <w:sz w:val="24"/>
        </w:rPr>
      </w:pPr>
      <w:r>
        <w:rPr>
          <w:rFonts w:hint="eastAsia" w:ascii="Times New Roman" w:hAnsi="Times New Roman" w:eastAsia="楷体"/>
          <w:sz w:val="24"/>
        </w:rPr>
        <w:t>统计触发风险累积，出现波动，出现波动，趋势稳定的二级目录个数→风险积累</w:t>
      </w:r>
      <w:r>
        <w:rPr>
          <w:rFonts w:hint="eastAsia" w:ascii="Times New Roman" w:hAnsi="Times New Roman" w:eastAsia="楷体"/>
          <w:sz w:val="24"/>
          <w:lang w:eastAsia="zh-CN"/>
        </w:rPr>
        <w:t>：</w:t>
      </w:r>
      <w:r>
        <w:rPr>
          <w:rFonts w:hint="eastAsia" w:ascii="Times New Roman" w:hAnsi="Times New Roman" w:eastAsia="楷体"/>
          <w:sz w:val="24"/>
        </w:rPr>
        <w:t>x，出现波动</w:t>
      </w:r>
      <w:r>
        <w:rPr>
          <w:rFonts w:hint="eastAsia" w:ascii="Times New Roman" w:hAnsi="Times New Roman" w:eastAsia="楷体"/>
          <w:sz w:val="24"/>
          <w:lang w:eastAsia="zh-CN"/>
        </w:rPr>
        <w:t>：</w:t>
      </w:r>
      <w:r>
        <w:rPr>
          <w:rFonts w:hint="eastAsia" w:ascii="Times New Roman" w:hAnsi="Times New Roman" w:eastAsia="楷体"/>
          <w:sz w:val="24"/>
        </w:rPr>
        <w:t>x，趋势改善</w:t>
      </w:r>
      <w:r>
        <w:rPr>
          <w:rFonts w:hint="eastAsia" w:ascii="Times New Roman" w:hAnsi="Times New Roman" w:eastAsia="楷体"/>
          <w:sz w:val="24"/>
          <w:lang w:eastAsia="zh-CN"/>
        </w:rPr>
        <w:t>：</w:t>
      </w:r>
      <w:r>
        <w:rPr>
          <w:rFonts w:hint="eastAsia" w:ascii="Times New Roman" w:hAnsi="Times New Roman" w:eastAsia="楷体"/>
          <w:sz w:val="24"/>
        </w:rPr>
        <w:t>x，趋势稳定</w:t>
      </w:r>
      <w:r>
        <w:rPr>
          <w:rFonts w:hint="eastAsia" w:ascii="Times New Roman" w:hAnsi="Times New Roman" w:eastAsia="楷体"/>
          <w:sz w:val="24"/>
          <w:lang w:eastAsia="zh-CN"/>
        </w:rPr>
        <w:t>：</w:t>
      </w:r>
      <w:r>
        <w:rPr>
          <w:rFonts w:hint="eastAsia" w:ascii="Times New Roman" w:hAnsi="Times New Roman" w:eastAsia="楷体"/>
          <w:sz w:val="24"/>
        </w:rPr>
        <w:t>x</w:t>
      </w:r>
    </w:p>
    <w:p w14:paraId="1856F173">
      <w:pPr>
        <w:spacing w:line="288" w:lineRule="auto"/>
        <w:ind w:firstLine="480" w:firstLineChars="200"/>
        <w:rPr>
          <w:rFonts w:hint="default" w:ascii="Times New Roman" w:hAnsi="Times New Roman" w:eastAsia="楷体"/>
          <w:sz w:val="24"/>
          <w:highlight w:val="none"/>
          <w:lang w:val="en-US" w:eastAsia="zh-CN"/>
        </w:rPr>
      </w:pPr>
      <w:r>
        <w:rPr>
          <w:rFonts w:hint="eastAsia" w:ascii="Times New Roman" w:hAnsi="Times New Roman" w:eastAsia="楷体"/>
          <w:sz w:val="24"/>
          <w:highlight w:val="none"/>
        </w:rPr>
        <w:t>（</w:t>
      </w:r>
      <w:r>
        <w:rPr>
          <w:rFonts w:hint="eastAsia" w:ascii="Times New Roman" w:hAnsi="Times New Roman" w:eastAsia="楷体"/>
          <w:sz w:val="24"/>
          <w:highlight w:val="none"/>
          <w:lang w:val="en-US" w:eastAsia="zh-CN"/>
        </w:rPr>
        <w:t>3</w:t>
      </w:r>
      <w:r>
        <w:rPr>
          <w:rFonts w:hint="eastAsia" w:ascii="Times New Roman" w:hAnsi="Times New Roman" w:eastAsia="楷体"/>
          <w:sz w:val="24"/>
          <w:highlight w:val="none"/>
        </w:rPr>
        <w:t>）风险系统展示</w:t>
      </w:r>
      <w:r>
        <w:rPr>
          <w:rFonts w:hint="eastAsia" w:ascii="Times New Roman" w:hAnsi="Times New Roman" w:eastAsia="楷体"/>
          <w:sz w:val="24"/>
          <w:highlight w:val="none"/>
          <w:lang w:val="en-US" w:eastAsia="zh-CN"/>
        </w:rPr>
        <w:t>输出逻辑</w:t>
      </w:r>
    </w:p>
    <w:p w14:paraId="2C929698">
      <w:pPr>
        <w:spacing w:line="288" w:lineRule="auto"/>
        <w:ind w:firstLine="480" w:firstLineChars="200"/>
        <w:rPr>
          <w:rFonts w:hint="eastAsia" w:ascii="Times New Roman" w:hAnsi="Times New Roman" w:eastAsia="楷体"/>
          <w:sz w:val="24"/>
          <w:highlight w:val="none"/>
          <w:lang w:val="en-US" w:eastAsia="zh-CN"/>
        </w:rPr>
      </w:pPr>
      <w:r>
        <w:rPr>
          <w:rFonts w:hint="eastAsia" w:ascii="Times New Roman" w:hAnsi="Times New Roman" w:eastAsia="楷体"/>
          <w:sz w:val="24"/>
          <w:highlight w:val="none"/>
          <w:lang w:val="en-US" w:eastAsia="zh-CN"/>
        </w:rPr>
        <w:t>展示二级标题：触发风险积累，出现波动和趋势改善的二级目录标题全部展示，展示顺序优先级为风险积累＞出现波动＞趋势改善，处于同一趋势按照方案排序中的二级标题排序展示。</w:t>
      </w:r>
    </w:p>
    <w:p w14:paraId="3C6AF822">
      <w:pPr>
        <w:spacing w:line="288" w:lineRule="auto"/>
        <w:ind w:firstLine="480" w:firstLineChars="200"/>
        <w:rPr>
          <w:rFonts w:hint="default" w:ascii="Times New Roman" w:hAnsi="Times New Roman" w:eastAsia="楷体"/>
          <w:sz w:val="24"/>
          <w:highlight w:val="none"/>
          <w:lang w:val="en-US" w:eastAsia="zh-CN"/>
        </w:rPr>
      </w:pPr>
      <w:r>
        <w:rPr>
          <w:rFonts w:hint="eastAsia" w:ascii="Times New Roman" w:hAnsi="Times New Roman" w:eastAsia="楷体"/>
          <w:sz w:val="24"/>
          <w:highlight w:val="none"/>
          <w:lang w:val="en-US" w:eastAsia="zh-CN"/>
        </w:rPr>
        <w:t>显示</w:t>
      </w:r>
      <w:r>
        <w:rPr>
          <w:rFonts w:hint="eastAsia" w:ascii="Times New Roman" w:hAnsi="Times New Roman" w:eastAsia="楷体"/>
          <w:sz w:val="24"/>
          <w:lang w:val="en-US" w:eastAsia="zh-CN"/>
        </w:rPr>
        <w:t>二级目录名称+趋势结果（</w:t>
      </w:r>
      <w:r>
        <w:rPr>
          <w:rFonts w:hint="eastAsia" w:ascii="Times New Roman" w:hAnsi="Times New Roman" w:eastAsia="楷体" w:cs="Times New Roman"/>
          <w:sz w:val="24"/>
        </w:rPr>
        <w:t>风险累积、出现波动，趋势改善和趋势稳定</w:t>
      </w:r>
      <w:r>
        <w:rPr>
          <w:rFonts w:hint="eastAsia" w:ascii="Times New Roman" w:hAnsi="Times New Roman" w:eastAsia="楷体" w:cs="Times New Roman"/>
          <w:sz w:val="24"/>
          <w:lang w:val="en-US" w:eastAsia="zh-CN"/>
        </w:rPr>
        <w:t>之一</w:t>
      </w:r>
      <w:r>
        <w:rPr>
          <w:rFonts w:hint="eastAsia" w:ascii="Times New Roman" w:hAnsi="Times New Roman" w:eastAsia="楷体"/>
          <w:sz w:val="24"/>
          <w:lang w:val="en-US" w:eastAsia="zh-CN"/>
        </w:rPr>
        <w:t>）</w:t>
      </w:r>
    </w:p>
    <w:p w14:paraId="5009C658">
      <w:pPr>
        <w:spacing w:line="288" w:lineRule="auto"/>
        <w:ind w:firstLine="480" w:firstLineChars="200"/>
        <w:rPr>
          <w:rFonts w:hint="eastAsia" w:ascii="Times New Roman" w:hAnsi="Times New Roman" w:eastAsia="楷体"/>
          <w:sz w:val="24"/>
          <w:highlight w:val="none"/>
        </w:rPr>
      </w:pPr>
      <w:r>
        <w:rPr>
          <w:rFonts w:hint="eastAsia" w:ascii="楷体" w:hAnsi="楷体" w:eastAsia="楷体" w:cs="楷体"/>
          <w:sz w:val="24"/>
          <w:highlight w:val="none"/>
        </w:rPr>
        <w:t>①</w:t>
      </w:r>
      <w:r>
        <w:rPr>
          <w:rFonts w:hint="eastAsia" w:ascii="楷体" w:hAnsi="楷体" w:eastAsia="楷体" w:cs="楷体"/>
          <w:sz w:val="24"/>
          <w:highlight w:val="none"/>
          <w:lang w:val="en-US" w:eastAsia="zh-CN"/>
        </w:rPr>
        <w:t xml:space="preserve"> </w:t>
      </w:r>
      <w:r>
        <w:rPr>
          <w:rFonts w:hint="eastAsia" w:ascii="Times New Roman" w:hAnsi="Times New Roman" w:eastAsia="楷体"/>
          <w:sz w:val="24"/>
          <w:highlight w:val="none"/>
        </w:rPr>
        <w:t>展示评估模型</w:t>
      </w:r>
    </w:p>
    <w:p w14:paraId="46162175">
      <w:pPr>
        <w:spacing w:line="288" w:lineRule="auto"/>
        <w:ind w:firstLine="480" w:firstLineChars="200"/>
        <w:rPr>
          <w:rFonts w:hint="default" w:ascii="Times New Roman" w:hAnsi="Times New Roman" w:eastAsia="楷体"/>
          <w:sz w:val="24"/>
          <w:highlight w:val="none"/>
          <w:lang w:val="en-US" w:eastAsia="zh-CN"/>
        </w:rPr>
      </w:pPr>
      <w:r>
        <w:rPr>
          <w:rFonts w:hint="eastAsia" w:ascii="Times New Roman" w:hAnsi="Times New Roman" w:eastAsia="楷体"/>
          <w:sz w:val="24"/>
          <w:highlight w:val="none"/>
          <w:lang w:val="en-US" w:eastAsia="zh-CN"/>
        </w:rPr>
        <w:t>若产品出现风险等级</w:t>
      </w:r>
      <w:r>
        <w:rPr>
          <w:rFonts w:hint="eastAsia" w:ascii="Times New Roman" w:hAnsi="Times New Roman" w:eastAsia="楷体" w:cs="Times New Roman"/>
          <w:sz w:val="24"/>
          <w:highlight w:val="none"/>
          <w:lang w:val="en-US" w:eastAsia="zh-CN"/>
        </w:rPr>
        <w:t>＞低风险，展示</w:t>
      </w:r>
    </w:p>
    <w:p w14:paraId="06B6F86D">
      <w:pPr>
        <w:spacing w:line="288" w:lineRule="auto"/>
        <w:ind w:firstLine="480" w:firstLineChars="200"/>
        <w:rPr>
          <w:rFonts w:ascii="Times New Roman" w:hAnsi="Times New Roman" w:eastAsia="楷体"/>
          <w:sz w:val="24"/>
          <w:highlight w:val="none"/>
        </w:rPr>
      </w:pPr>
      <w:r>
        <w:rPr>
          <w:rFonts w:hint="eastAsia" w:ascii="Times New Roman" w:hAnsi="Times New Roman" w:eastAsia="楷体" w:cs="Times New Roman"/>
          <w:sz w:val="24"/>
          <w:highlight w:val="none"/>
          <w:lang w:val="en-US" w:eastAsia="zh-CN"/>
        </w:rPr>
        <w:t>展示产品：展示风险等级＞低风险的产品名称，及其风险等级</w:t>
      </w:r>
      <w:r>
        <w:rPr>
          <w:rFonts w:hint="eastAsia" w:ascii="Times New Roman" w:hAnsi="Times New Roman" w:eastAsia="楷体" w:cs="Times New Roman"/>
          <w:sz w:val="24"/>
          <w:highlight w:val="none"/>
        </w:rPr>
        <w:t>。</w:t>
      </w:r>
    </w:p>
    <w:p w14:paraId="360460CC">
      <w:pPr>
        <w:spacing w:line="288" w:lineRule="auto"/>
        <w:ind w:firstLine="480" w:firstLineChars="200"/>
        <w:rPr>
          <w:rFonts w:ascii="Times New Roman" w:hAnsi="Times New Roman" w:eastAsia="楷体" w:cs="Times New Roman"/>
          <w:sz w:val="24"/>
          <w:highlight w:val="none"/>
        </w:rPr>
      </w:pPr>
      <w:r>
        <w:rPr>
          <w:rFonts w:hint="eastAsia" w:ascii="楷体" w:hAnsi="楷体" w:eastAsia="楷体" w:cs="楷体"/>
          <w:sz w:val="24"/>
          <w:highlight w:val="none"/>
          <w:lang w:eastAsia="zh-CN"/>
        </w:rPr>
        <w:t>②</w:t>
      </w:r>
      <w:r>
        <w:rPr>
          <w:rFonts w:hint="eastAsia" w:ascii="楷体" w:hAnsi="楷体" w:eastAsia="楷体" w:cs="楷体"/>
          <w:sz w:val="24"/>
          <w:highlight w:val="none"/>
          <w:lang w:val="en-US" w:eastAsia="zh-CN"/>
        </w:rPr>
        <w:t xml:space="preserve"> </w:t>
      </w:r>
      <w:r>
        <w:rPr>
          <w:rFonts w:hint="eastAsia" w:ascii="Times New Roman" w:hAnsi="Times New Roman" w:eastAsia="楷体" w:cs="Times New Roman"/>
          <w:sz w:val="24"/>
          <w:highlight w:val="none"/>
        </w:rPr>
        <w:t>检测项目类仅展示当前检测周期内存在异常的指标</w:t>
      </w:r>
    </w:p>
    <w:p w14:paraId="63DE2E6C">
      <w:pPr>
        <w:spacing w:line="288" w:lineRule="auto"/>
        <w:ind w:firstLine="480" w:firstLineChars="200"/>
        <w:rPr>
          <w:rFonts w:hint="default" w:ascii="Times New Roman" w:hAnsi="Times New Roman" w:eastAsia="楷体"/>
          <w:sz w:val="24"/>
          <w:highlight w:val="yellow"/>
          <w:lang w:val="en-US" w:eastAsia="zh-CN"/>
        </w:rPr>
      </w:pPr>
      <w:r>
        <w:rPr>
          <w:rFonts w:hint="eastAsia" w:ascii="Times New Roman" w:hAnsi="Times New Roman" w:eastAsia="楷体" w:cs="Times New Roman"/>
          <w:sz w:val="24"/>
          <w:highlight w:val="none"/>
        </w:rPr>
        <w:t>统计本周期检测指标，展示当前检测周期内存在异常的指标</w:t>
      </w:r>
      <w:r>
        <w:rPr>
          <w:rFonts w:hint="eastAsia" w:ascii="Times New Roman" w:hAnsi="Times New Roman" w:eastAsia="楷体" w:cs="Times New Roman"/>
          <w:sz w:val="24"/>
          <w:highlight w:val="none"/>
          <w:lang w:eastAsia="zh-CN"/>
        </w:rPr>
        <w:t>，</w:t>
      </w:r>
      <w:r>
        <w:rPr>
          <w:rFonts w:hint="eastAsia" w:ascii="Times New Roman" w:hAnsi="Times New Roman" w:eastAsia="楷体" w:cs="Times New Roman"/>
          <w:sz w:val="24"/>
          <w:highlight w:val="none"/>
          <w:lang w:val="en-US" w:eastAsia="zh-CN"/>
        </w:rPr>
        <w:t>若无，不展示。</w:t>
      </w:r>
    </w:p>
    <w:p w14:paraId="7E0969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sz w:val="24"/>
          <w:lang w:val="en-US" w:eastAsia="zh-CN"/>
        </w:rPr>
        <w:t>展示指标：</w:t>
      </w:r>
      <w:r>
        <w:rPr>
          <w:rFonts w:hint="eastAsia" w:ascii="Times New Roman" w:hAnsi="Times New Roman" w:eastAsia="楷体" w:cs="Times New Roman"/>
          <w:sz w:val="24"/>
          <w:lang w:val="en-US" w:eastAsia="zh-CN"/>
        </w:rPr>
        <w:t>检测项目，结果（结果对应时间），参考值，提示</w:t>
      </w:r>
    </w:p>
    <w:p w14:paraId="10E11DF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（三）</w:t>
      </w:r>
      <w:r>
        <w:rPr>
          <w:rFonts w:hint="default" w:ascii="Times New Roman" w:hAnsi="Times New Roman" w:eastAsia="楷体" w:cs="Times New Roman"/>
          <w:b/>
          <w:bCs/>
          <w:sz w:val="24"/>
          <w:szCs w:val="24"/>
          <w:lang w:val="en-US" w:eastAsia="zh-CN"/>
        </w:rPr>
        <w:t>日常管理执行度回顾</w:t>
      </w:r>
    </w:p>
    <w:p w14:paraId="363590F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1.功能定位</w:t>
      </w:r>
    </w:p>
    <w:p w14:paraId="1F7A87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sz w:val="24"/>
        </w:rPr>
        <w:t>用于回顾用户在本预防干预周期内，针对已生成的风险管理类任务的执行情况，仅作为风险趋势解释的辅助参考信息，不参与风险状态判定与风险等级计算。</w:t>
      </w:r>
    </w:p>
    <w:p w14:paraId="7D6455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kern w:val="2"/>
          <w:sz w:val="24"/>
          <w:szCs w:val="24"/>
          <w:lang w:val="en-US" w:eastAsia="zh-CN" w:bidi="ar-SA"/>
        </w:rPr>
        <w:t>2.</w:t>
      </w:r>
      <w:r>
        <w:rPr>
          <w:rFonts w:hint="eastAsia" w:ascii="Times New Roman" w:hAnsi="Times New Roman" w:eastAsia="楷体" w:cs="Times New Roman"/>
          <w:b/>
          <w:bCs/>
          <w:sz w:val="24"/>
          <w:szCs w:val="24"/>
          <w:lang w:val="en-US" w:eastAsia="zh-CN"/>
        </w:rPr>
        <w:t>覆盖</w:t>
      </w:r>
      <w:r>
        <w:rPr>
          <w:rFonts w:hint="default" w:ascii="Times New Roman" w:hAnsi="Times New Roman" w:eastAsia="楷体" w:cs="Times New Roman"/>
          <w:b/>
          <w:bCs/>
          <w:sz w:val="24"/>
          <w:szCs w:val="24"/>
          <w:lang w:val="en-US" w:eastAsia="zh-CN"/>
        </w:rPr>
        <w:t>内容</w:t>
      </w:r>
      <w:r>
        <w:rPr>
          <w:rFonts w:hint="eastAsia" w:ascii="Times New Roman" w:hAnsi="Times New Roman" w:eastAsia="楷体" w:cs="Times New Roman"/>
          <w:b/>
          <w:bCs/>
          <w:sz w:val="24"/>
          <w:szCs w:val="24"/>
          <w:lang w:val="en-US" w:eastAsia="zh-CN"/>
        </w:rPr>
        <w:t>：</w:t>
      </w:r>
    </w:p>
    <w:p w14:paraId="151D98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七个一级模块中存在打卡任务的模型</w:t>
      </w:r>
    </w:p>
    <w:p w14:paraId="75CC82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kern w:val="2"/>
          <w:sz w:val="24"/>
          <w:szCs w:val="24"/>
          <w:lang w:val="en-US" w:eastAsia="zh-CN" w:bidi="ar-SA"/>
        </w:rPr>
        <w:t>3.</w:t>
      </w:r>
      <w:r>
        <w:rPr>
          <w:rFonts w:hint="eastAsia" w:ascii="Times New Roman" w:hAnsi="Times New Roman" w:eastAsia="楷体" w:cs="Times New Roman"/>
          <w:b/>
          <w:bCs/>
          <w:sz w:val="24"/>
          <w:szCs w:val="24"/>
          <w:lang w:val="en-US" w:eastAsia="zh-CN"/>
        </w:rPr>
        <w:t>执行度状态</w:t>
      </w:r>
    </w:p>
    <w:p w14:paraId="08900D5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数据来源：</w:t>
      </w:r>
    </w:p>
    <w:p w14:paraId="0F1AC0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00" w:leftChars="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健康打卡-打卡记录（如未生成过该模块方案的打卡任务，则默认不展示）</w:t>
      </w:r>
    </w:p>
    <w:p w14:paraId="3357009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00" w:firstLineChars="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状态分类：</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8"/>
        <w:gridCol w:w="5263"/>
      </w:tblGrid>
      <w:tr w14:paraId="08C99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8" w:type="dxa"/>
            <w:tcBorders>
              <w:top w:val="single" w:color="000000" w:sz="12" w:space="0"/>
              <w:left w:val="nil"/>
              <w:bottom w:val="single" w:color="000000" w:sz="4" w:space="0"/>
              <w:right w:val="nil"/>
              <w:tl2br w:val="nil"/>
            </w:tcBorders>
            <w:shd w:val="clear" w:color="auto" w:fill="FFFFFF"/>
          </w:tcPr>
          <w:p w14:paraId="1FDDD26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color w:val="000000"/>
                <w:sz w:val="24"/>
                <w:szCs w:val="24"/>
                <w:vertAlign w:val="baseline"/>
                <w:lang w:val="en-US" w:eastAsia="zh-CN"/>
              </w:rPr>
            </w:pPr>
            <w:r>
              <w:rPr>
                <w:rFonts w:hint="eastAsia" w:ascii="Times New Roman" w:hAnsi="Times New Roman" w:eastAsia="楷体" w:cs="Times New Roman"/>
                <w:b/>
                <w:bCs/>
                <w:color w:val="000000"/>
                <w:sz w:val="24"/>
                <w:szCs w:val="24"/>
                <w:vertAlign w:val="baseline"/>
                <w:lang w:val="en-US" w:eastAsia="zh-CN"/>
              </w:rPr>
              <w:t>状态</w:t>
            </w:r>
          </w:p>
        </w:tc>
        <w:tc>
          <w:tcPr>
            <w:tcW w:w="5263" w:type="dxa"/>
            <w:tcBorders>
              <w:top w:val="single" w:color="000000" w:sz="12" w:space="0"/>
              <w:left w:val="nil"/>
              <w:bottom w:val="single" w:color="000000" w:sz="4" w:space="0"/>
              <w:right w:val="nil"/>
            </w:tcBorders>
            <w:shd w:val="clear" w:color="auto" w:fill="FFFFFF"/>
          </w:tcPr>
          <w:p w14:paraId="4668307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color w:val="000000"/>
                <w:sz w:val="24"/>
                <w:szCs w:val="24"/>
                <w:vertAlign w:val="baseline"/>
                <w:lang w:val="en-US" w:eastAsia="zh-CN"/>
              </w:rPr>
            </w:pPr>
            <w:r>
              <w:rPr>
                <w:rFonts w:hint="eastAsia" w:ascii="Times New Roman" w:hAnsi="Times New Roman" w:eastAsia="楷体" w:cs="Times New Roman"/>
                <w:b/>
                <w:bCs/>
                <w:color w:val="000000"/>
                <w:sz w:val="24"/>
                <w:szCs w:val="24"/>
                <w:vertAlign w:val="baseline"/>
                <w:lang w:val="en-US" w:eastAsia="zh-CN"/>
              </w:rPr>
              <w:t>定义</w:t>
            </w:r>
          </w:p>
        </w:tc>
      </w:tr>
      <w:tr w14:paraId="6B7C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8" w:type="dxa"/>
            <w:tcBorders>
              <w:top w:val="single" w:color="000000" w:sz="4" w:space="0"/>
              <w:left w:val="nil"/>
              <w:bottom w:val="nil"/>
              <w:right w:val="nil"/>
            </w:tcBorders>
            <w:shd w:val="clear" w:color="auto" w:fill="FFFFFF"/>
          </w:tcPr>
          <w:p w14:paraId="5A89EDC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color w:val="000000"/>
                <w:sz w:val="24"/>
                <w:szCs w:val="24"/>
                <w:vertAlign w:val="baseline"/>
                <w:lang w:val="en-US" w:eastAsia="zh-CN"/>
              </w:rPr>
            </w:pPr>
            <w:r>
              <w:rPr>
                <w:rFonts w:hint="default" w:ascii="Times New Roman" w:hAnsi="Times New Roman" w:eastAsia="楷体" w:cs="Times New Roman"/>
                <w:b w:val="0"/>
                <w:bCs w:val="0"/>
                <w:color w:val="000000"/>
                <w:sz w:val="24"/>
                <w:szCs w:val="24"/>
                <w:lang w:val="en-US" w:eastAsia="zh-CN"/>
              </w:rPr>
              <w:t>稳定执行</w:t>
            </w:r>
          </w:p>
        </w:tc>
        <w:tc>
          <w:tcPr>
            <w:tcW w:w="5263" w:type="dxa"/>
            <w:tcBorders>
              <w:top w:val="single" w:color="000000" w:sz="4" w:space="0"/>
              <w:left w:val="nil"/>
              <w:bottom w:val="nil"/>
              <w:right w:val="nil"/>
            </w:tcBorders>
            <w:shd w:val="clear" w:color="auto" w:fill="FFFFFF"/>
          </w:tcPr>
          <w:p w14:paraId="246CCC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color w:val="000000"/>
                <w:sz w:val="24"/>
                <w:szCs w:val="24"/>
                <w:vertAlign w:val="baseline"/>
                <w:lang w:val="en-US" w:eastAsia="zh-CN"/>
              </w:rPr>
            </w:pPr>
            <w:r>
              <w:rPr>
                <w:rFonts w:hint="eastAsia" w:ascii="Times New Roman" w:hAnsi="Times New Roman" w:eastAsia="楷体" w:cs="Times New Roman"/>
                <w:b w:val="0"/>
                <w:bCs w:val="0"/>
                <w:color w:val="000000"/>
                <w:sz w:val="24"/>
                <w:szCs w:val="24"/>
                <w:vertAlign w:val="baseline"/>
                <w:lang w:val="en-US" w:eastAsia="zh-CN"/>
              </w:rPr>
              <w:t>每日执行任务条数＞总任务条数80%</w:t>
            </w:r>
          </w:p>
        </w:tc>
      </w:tr>
      <w:tr w14:paraId="7D9C1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8" w:type="dxa"/>
            <w:tcBorders>
              <w:top w:val="nil"/>
              <w:left w:val="nil"/>
              <w:bottom w:val="nil"/>
              <w:right w:val="nil"/>
            </w:tcBorders>
            <w:shd w:val="clear" w:color="auto" w:fill="FFFFFF"/>
          </w:tcPr>
          <w:p w14:paraId="6EF7888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color w:val="000000"/>
                <w:sz w:val="24"/>
                <w:szCs w:val="24"/>
                <w:vertAlign w:val="baseline"/>
                <w:lang w:val="en-US" w:eastAsia="zh-CN"/>
              </w:rPr>
            </w:pPr>
            <w:r>
              <w:rPr>
                <w:rFonts w:hint="default" w:ascii="Times New Roman" w:hAnsi="Times New Roman" w:eastAsia="楷体" w:cs="Times New Roman"/>
                <w:b w:val="0"/>
                <w:bCs w:val="0"/>
                <w:color w:val="000000"/>
                <w:sz w:val="24"/>
                <w:szCs w:val="24"/>
                <w:lang w:val="en-US" w:eastAsia="zh-CN"/>
              </w:rPr>
              <w:t>间断执行</w:t>
            </w:r>
          </w:p>
        </w:tc>
        <w:tc>
          <w:tcPr>
            <w:tcW w:w="5263" w:type="dxa"/>
            <w:tcBorders>
              <w:top w:val="nil"/>
              <w:left w:val="nil"/>
              <w:bottom w:val="nil"/>
              <w:right w:val="nil"/>
            </w:tcBorders>
            <w:shd w:val="clear" w:color="auto" w:fill="FFFFFF"/>
          </w:tcPr>
          <w:p w14:paraId="3EEBAAB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color w:val="000000"/>
                <w:sz w:val="24"/>
                <w:szCs w:val="24"/>
                <w:vertAlign w:val="baseline"/>
                <w:lang w:val="en-US" w:eastAsia="zh-CN"/>
              </w:rPr>
            </w:pPr>
            <w:r>
              <w:rPr>
                <w:rFonts w:hint="eastAsia" w:ascii="Times New Roman" w:hAnsi="Times New Roman" w:eastAsia="楷体" w:cs="Times New Roman"/>
                <w:b w:val="0"/>
                <w:bCs w:val="0"/>
                <w:color w:val="000000"/>
                <w:sz w:val="24"/>
                <w:szCs w:val="24"/>
                <w:vertAlign w:val="baseline"/>
                <w:lang w:val="en-US" w:eastAsia="zh-CN"/>
              </w:rPr>
              <w:t>每日执行任务条数=总任务条数80%-60%区间</w:t>
            </w:r>
          </w:p>
        </w:tc>
      </w:tr>
      <w:tr w14:paraId="4189E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8" w:type="dxa"/>
            <w:tcBorders>
              <w:top w:val="nil"/>
              <w:left w:val="nil"/>
              <w:bottom w:val="single" w:color="000000" w:sz="12" w:space="0"/>
              <w:right w:val="nil"/>
            </w:tcBorders>
            <w:shd w:val="clear" w:color="auto" w:fill="FFFFFF"/>
          </w:tcPr>
          <w:p w14:paraId="5918E23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color w:val="000000"/>
                <w:sz w:val="24"/>
                <w:szCs w:val="24"/>
                <w:vertAlign w:val="baseline"/>
                <w:lang w:val="en-US" w:eastAsia="zh-CN"/>
              </w:rPr>
            </w:pPr>
            <w:r>
              <w:rPr>
                <w:rFonts w:hint="default" w:ascii="Times New Roman" w:hAnsi="Times New Roman" w:eastAsia="楷体" w:cs="Times New Roman"/>
                <w:b w:val="0"/>
                <w:bCs w:val="0"/>
                <w:color w:val="000000"/>
                <w:sz w:val="24"/>
                <w:szCs w:val="24"/>
                <w:lang w:val="en-US" w:eastAsia="zh-CN"/>
              </w:rPr>
              <w:t>明显不足</w:t>
            </w:r>
          </w:p>
        </w:tc>
        <w:tc>
          <w:tcPr>
            <w:tcW w:w="5263" w:type="dxa"/>
            <w:tcBorders>
              <w:top w:val="nil"/>
              <w:left w:val="nil"/>
              <w:bottom w:val="single" w:color="000000" w:sz="12" w:space="0"/>
              <w:right w:val="nil"/>
            </w:tcBorders>
            <w:shd w:val="clear" w:color="auto" w:fill="FFFFFF"/>
          </w:tcPr>
          <w:p w14:paraId="0F0ACE0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color w:val="000000"/>
                <w:sz w:val="24"/>
                <w:szCs w:val="24"/>
                <w:vertAlign w:val="baseline"/>
                <w:lang w:val="en-US" w:eastAsia="zh-CN"/>
              </w:rPr>
            </w:pPr>
            <w:r>
              <w:rPr>
                <w:rFonts w:hint="eastAsia" w:ascii="Times New Roman" w:hAnsi="Times New Roman" w:eastAsia="楷体" w:cs="Times New Roman"/>
                <w:b w:val="0"/>
                <w:bCs w:val="0"/>
                <w:color w:val="000000"/>
                <w:sz w:val="24"/>
                <w:szCs w:val="24"/>
                <w:vertAlign w:val="baseline"/>
                <w:lang w:val="en-US" w:eastAsia="zh-CN"/>
              </w:rPr>
              <w:t>每日执行任务条数小于总任务条数60%</w:t>
            </w:r>
          </w:p>
        </w:tc>
      </w:tr>
    </w:tbl>
    <w:p w14:paraId="5197A4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楷体" w:cs="Times New Roman"/>
          <w:b/>
          <w:bCs/>
          <w:kern w:val="2"/>
          <w:sz w:val="24"/>
          <w:szCs w:val="24"/>
          <w:lang w:val="en-US" w:eastAsia="zh-CN" w:bidi="ar-SA"/>
        </w:rPr>
      </w:pPr>
    </w:p>
    <w:p w14:paraId="3B9F57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kern w:val="2"/>
          <w:sz w:val="24"/>
          <w:szCs w:val="24"/>
          <w:lang w:val="en-US" w:eastAsia="zh-CN" w:bidi="ar-SA"/>
        </w:rPr>
        <w:t>4.</w:t>
      </w:r>
      <w:r>
        <w:rPr>
          <w:rFonts w:hint="eastAsia" w:ascii="Times New Roman" w:hAnsi="Times New Roman" w:eastAsia="楷体" w:cs="Times New Roman"/>
          <w:b/>
          <w:bCs/>
          <w:sz w:val="24"/>
          <w:szCs w:val="24"/>
          <w:lang w:val="en-US" w:eastAsia="zh-CN"/>
        </w:rPr>
        <w:t>用户页展示方式</w:t>
      </w:r>
    </w:p>
    <w:p w14:paraId="6840A3A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A.当前周期执行度状态</w:t>
      </w:r>
    </w:p>
    <w:p w14:paraId="3BCACFD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稳定执行 / 间断执行 / 明显不足</w:t>
      </w:r>
    </w:p>
    <w:p w14:paraId="516C7D8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bCs/>
          <w:sz w:val="24"/>
          <w:szCs w:val="24"/>
          <w:lang w:val="en-US" w:eastAsia="zh-CN"/>
        </w:rPr>
        <w:t>B.执行度状态提示语（</w:t>
      </w:r>
      <w:r>
        <w:rPr>
          <w:rFonts w:hint="eastAsia" w:ascii="Times New Roman" w:hAnsi="Times New Roman" w:eastAsia="楷体" w:cs="Times New Roman"/>
          <w:b w:val="0"/>
          <w:bCs w:val="0"/>
          <w:sz w:val="24"/>
          <w:szCs w:val="24"/>
          <w:lang w:val="en-US" w:eastAsia="zh-CN"/>
        </w:rPr>
        <w:t>仅提示执行连续性与建议保持</w:t>
      </w:r>
      <w:r>
        <w:rPr>
          <w:rFonts w:hint="eastAsia" w:ascii="Times New Roman" w:hAnsi="Times New Roman" w:eastAsia="楷体" w:cs="Times New Roman"/>
          <w:b/>
          <w:bCs/>
          <w:sz w:val="24"/>
          <w:szCs w:val="24"/>
          <w:lang w:val="en-US" w:eastAsia="zh-CN"/>
        </w:rPr>
        <w:t>）</w:t>
      </w:r>
    </w:p>
    <w:p w14:paraId="3F112D61">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00" w:firstLineChars="0"/>
        <w:textAlignment w:val="auto"/>
        <w:rPr>
          <w:rFonts w:hint="eastAsia"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稳定执行</w:t>
      </w:r>
      <w:r>
        <w:rPr>
          <w:rFonts w:hint="eastAsia" w:ascii="Times New Roman" w:hAnsi="Times New Roman" w:eastAsia="楷体" w:cs="Times New Roman"/>
          <w:b w:val="0"/>
          <w:bCs w:val="0"/>
          <w:sz w:val="24"/>
          <w:szCs w:val="24"/>
          <w:lang w:val="en-US" w:eastAsia="zh-CN"/>
        </w:rPr>
        <w:t>：</w:t>
      </w:r>
    </w:p>
    <w:p w14:paraId="109376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ascii="Times New Roman" w:hAnsi="Times New Roman" w:eastAsia="楷体"/>
          <w:sz w:val="24"/>
        </w:rPr>
        <w:t>本周期内相关干预任务完成度较高，行为执行保持连续，有助于长期风险管理的稳定推进。</w:t>
      </w:r>
    </w:p>
    <w:p w14:paraId="2621BB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sz w:val="24"/>
          <w:lang w:val="en-US" w:eastAsia="zh-CN"/>
        </w:rPr>
        <w:t>你在本周期内保持了较好的执行连续性，有助于巩固当前管理效果，建议继续保持。</w:t>
      </w:r>
    </w:p>
    <w:p w14:paraId="74252753">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00" w:firstLineChars="0"/>
        <w:textAlignment w:val="auto"/>
        <w:rPr>
          <w:rFonts w:hint="eastAsia"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间断执行</w:t>
      </w:r>
      <w:r>
        <w:rPr>
          <w:rFonts w:hint="eastAsia" w:ascii="Times New Roman" w:hAnsi="Times New Roman" w:eastAsia="楷体" w:cs="Times New Roman"/>
          <w:b w:val="0"/>
          <w:bCs w:val="0"/>
          <w:sz w:val="24"/>
          <w:szCs w:val="24"/>
          <w:lang w:val="en-US" w:eastAsia="zh-CN"/>
        </w:rPr>
        <w:t>：</w:t>
      </w:r>
    </w:p>
    <w:p w14:paraId="0BCF73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ascii="Times New Roman" w:hAnsi="Times New Roman" w:eastAsia="楷体"/>
          <w:sz w:val="24"/>
        </w:rPr>
        <w:t>本周期内相关干预任务存在阶段性中断，行为执行不够连续，可能影响风险变化的整体稳定性。</w:t>
      </w:r>
    </w:p>
    <w:p w14:paraId="493B64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sz w:val="24"/>
          <w:lang w:val="en-US" w:eastAsia="zh-CN"/>
        </w:rPr>
        <w:t>建议为容易中断的时间段设置更清晰的提醒与备选方案。</w:t>
      </w:r>
    </w:p>
    <w:p w14:paraId="1E849C2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00" w:firstLineChars="0"/>
        <w:textAlignment w:val="auto"/>
        <w:rPr>
          <w:rFonts w:hint="eastAsia"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明显不足</w:t>
      </w:r>
      <w:r>
        <w:rPr>
          <w:rFonts w:hint="eastAsia" w:ascii="Times New Roman" w:hAnsi="Times New Roman" w:eastAsia="楷体" w:cs="Times New Roman"/>
          <w:b w:val="0"/>
          <w:bCs w:val="0"/>
          <w:sz w:val="24"/>
          <w:szCs w:val="24"/>
          <w:lang w:val="en-US" w:eastAsia="zh-CN"/>
        </w:rPr>
        <w:t>：</w:t>
      </w:r>
    </w:p>
    <w:p w14:paraId="046472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ascii="Times New Roman" w:hAnsi="Times New Roman" w:eastAsia="楷体"/>
          <w:sz w:val="24"/>
        </w:rPr>
        <w:t>本周期内相关干预任务完成度较低，当前行为执行情况不足以形成稳定的管理背景，建议关注后续执行情况。</w:t>
      </w:r>
    </w:p>
    <w:p w14:paraId="611664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default" w:ascii="Times New Roman" w:hAnsi="Times New Roman" w:eastAsia="楷体"/>
          <w:sz w:val="24"/>
          <w:lang w:val="en-US" w:eastAsia="zh-CN"/>
        </w:rPr>
        <w:t>建议从少量、可坚持的任务开始，逐步建立稳定的执行习惯。</w:t>
      </w:r>
    </w:p>
    <w:p w14:paraId="252477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楷体" w:cs="Times New Roman"/>
          <w:b/>
          <w:bCs/>
          <w:kern w:val="2"/>
          <w:sz w:val="24"/>
          <w:szCs w:val="24"/>
          <w:lang w:val="en-US" w:eastAsia="zh-CN" w:bidi="ar-SA"/>
        </w:rPr>
      </w:pPr>
      <w:r>
        <w:rPr>
          <w:rFonts w:hint="eastAsia" w:ascii="Times New Roman" w:hAnsi="Times New Roman" w:eastAsia="楷体" w:cs="Times New Roman"/>
          <w:b/>
          <w:bCs/>
          <w:kern w:val="2"/>
          <w:sz w:val="24"/>
          <w:szCs w:val="24"/>
          <w:lang w:val="en-US" w:eastAsia="zh-CN" w:bidi="ar-SA"/>
        </w:rPr>
        <w:t>C.执行度概率对比展示</w:t>
      </w:r>
    </w:p>
    <w:p w14:paraId="54A490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与上一周期（一周期14天）执行度百分比对比上升或下降</w:t>
      </w:r>
    </w:p>
    <w:p w14:paraId="572E4F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kern w:val="2"/>
          <w:sz w:val="24"/>
          <w:szCs w:val="24"/>
          <w:lang w:val="en-US" w:eastAsia="zh-CN" w:bidi="ar-SA"/>
        </w:rPr>
        <w:t>D.</w:t>
      </w:r>
      <w:r>
        <w:rPr>
          <w:rFonts w:hint="eastAsia" w:ascii="Times New Roman" w:hAnsi="Times New Roman" w:eastAsia="楷体" w:cs="Times New Roman"/>
          <w:b/>
          <w:bCs/>
          <w:sz w:val="24"/>
          <w:szCs w:val="24"/>
          <w:lang w:val="en-US" w:eastAsia="zh-CN"/>
        </w:rPr>
        <w:t>连续打卡与中断</w:t>
      </w:r>
    </w:p>
    <w:p w14:paraId="61432721">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00" w:firstLineChars="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当前最长连续打卡天数；</w:t>
      </w:r>
    </w:p>
    <w:p w14:paraId="69334E05">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近30天中断次数。</w:t>
      </w:r>
    </w:p>
    <w:p w14:paraId="54263E3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（四）</w:t>
      </w:r>
      <w:r>
        <w:rPr>
          <w:rFonts w:hint="default" w:ascii="Times New Roman" w:hAnsi="Times New Roman" w:eastAsia="楷体" w:cs="Times New Roman"/>
          <w:b/>
          <w:bCs/>
          <w:sz w:val="24"/>
          <w:szCs w:val="24"/>
          <w:lang w:val="en-US" w:eastAsia="zh-CN"/>
        </w:rPr>
        <w:t>检测项目周期性提示</w:t>
      </w:r>
    </w:p>
    <w:p w14:paraId="33C4F2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1.功能定位</w:t>
      </w:r>
    </w:p>
    <w:p w14:paraId="594F17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sz w:val="24"/>
        </w:rPr>
        <w:t>用于向用户展示本模块各类检测指标完成情况，检测周期，指标状态。</w:t>
      </w:r>
    </w:p>
    <w:p w14:paraId="231922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2.数据来源说明</w:t>
      </w:r>
    </w:p>
    <w:p w14:paraId="4033F9A9">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检测项目及周期来源：</w:t>
      </w:r>
      <w:r>
        <w:rPr>
          <w:rFonts w:hint="default" w:ascii="Times New Roman" w:hAnsi="Times New Roman" w:eastAsia="楷体" w:cs="Times New Roman"/>
          <w:b w:val="0"/>
          <w:bCs w:val="0"/>
          <w:sz w:val="24"/>
          <w:szCs w:val="24"/>
          <w:lang w:val="en-US" w:eastAsia="zh-CN"/>
        </w:rPr>
        <w:t>各模块内部已配置的「检测周期建议」</w:t>
      </w:r>
    </w:p>
    <w:p w14:paraId="6F88E945">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00" w:firstLineChars="0"/>
        <w:textAlignment w:val="auto"/>
        <w:rPr>
          <w:rFonts w:hint="eastAsia"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检测完成情况来源</w:t>
      </w:r>
      <w:r>
        <w:rPr>
          <w:rFonts w:hint="eastAsia" w:ascii="Times New Roman" w:hAnsi="Times New Roman" w:eastAsia="楷体" w:cs="Times New Roman"/>
          <w:b w:val="0"/>
          <w:bCs w:val="0"/>
          <w:sz w:val="24"/>
          <w:szCs w:val="24"/>
          <w:lang w:val="en-US" w:eastAsia="zh-CN"/>
        </w:rPr>
        <w:t>：</w:t>
      </w:r>
      <w:r>
        <w:rPr>
          <w:rFonts w:hint="default" w:ascii="Times New Roman" w:hAnsi="Times New Roman" w:eastAsia="楷体" w:cs="Times New Roman"/>
          <w:b w:val="0"/>
          <w:bCs w:val="0"/>
          <w:sz w:val="24"/>
          <w:szCs w:val="24"/>
          <w:lang w:val="en-US" w:eastAsia="zh-CN"/>
        </w:rPr>
        <w:t>来自用户历史检测记录</w:t>
      </w:r>
      <w:r>
        <w:rPr>
          <w:rFonts w:hint="eastAsia" w:ascii="Times New Roman" w:hAnsi="Times New Roman" w:eastAsia="楷体" w:cs="Times New Roman"/>
          <w:b w:val="0"/>
          <w:bCs w:val="0"/>
          <w:sz w:val="24"/>
          <w:szCs w:val="24"/>
          <w:lang w:val="en-US" w:eastAsia="zh-CN"/>
        </w:rPr>
        <w:t>（健康档案）</w:t>
      </w:r>
    </w:p>
    <w:p w14:paraId="54AAAB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3.内部结构</w:t>
      </w:r>
    </w:p>
    <w:p w14:paraId="7ED6710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A.</w:t>
      </w:r>
      <w:r>
        <w:rPr>
          <w:rFonts w:hint="default" w:ascii="Times New Roman" w:hAnsi="Times New Roman" w:eastAsia="楷体" w:cs="Times New Roman"/>
          <w:b/>
          <w:bCs/>
          <w:sz w:val="24"/>
          <w:szCs w:val="24"/>
          <w:lang w:val="en-US" w:eastAsia="zh-CN"/>
        </w:rPr>
        <w:t>本周期应完成的检测项目</w:t>
      </w:r>
    </w:p>
    <w:p w14:paraId="4F0E64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展示内容（每条检测项目）</w:t>
      </w:r>
      <w:r>
        <w:rPr>
          <w:rFonts w:hint="eastAsia" w:ascii="Times New Roman" w:hAnsi="Times New Roman" w:eastAsia="楷体" w:cs="Times New Roman"/>
          <w:b w:val="0"/>
          <w:bCs w:val="0"/>
          <w:sz w:val="24"/>
          <w:szCs w:val="24"/>
          <w:lang w:val="en-US" w:eastAsia="zh-CN"/>
        </w:rPr>
        <w:t>：</w:t>
      </w:r>
    </w:p>
    <w:p w14:paraId="692E19EC">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用户端提示语</w:t>
      </w:r>
      <w:r>
        <w:rPr>
          <w:rFonts w:hint="eastAsia" w:ascii="Times New Roman" w:hAnsi="Times New Roman" w:eastAsia="楷体" w:cs="Times New Roman"/>
          <w:b w:val="0"/>
          <w:bCs w:val="0"/>
          <w:sz w:val="24"/>
          <w:szCs w:val="24"/>
          <w:lang w:val="en-US" w:eastAsia="zh-CN"/>
        </w:rPr>
        <w:t>：</w:t>
      </w:r>
    </w:p>
    <w:p w14:paraId="570F32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“以下检测项目依据系统建议的检测周期，当前尚未完成。”</w:t>
      </w:r>
    </w:p>
    <w:p w14:paraId="768E660F">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检测项目名称</w:t>
      </w:r>
    </w:p>
    <w:p w14:paraId="10EB8B7F">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所属模块</w:t>
      </w:r>
    </w:p>
    <w:p w14:paraId="0FFC3B2E">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建议检测周期（如：每 7 天 / 每 30 天）</w:t>
      </w:r>
    </w:p>
    <w:p w14:paraId="616FDBD6">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当前状态标签：未完成（周期内）</w:t>
      </w:r>
    </w:p>
    <w:p w14:paraId="327107E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 xml:space="preserve">B. </w:t>
      </w:r>
      <w:r>
        <w:rPr>
          <w:rFonts w:hint="default" w:ascii="Times New Roman" w:hAnsi="Times New Roman" w:eastAsia="楷体" w:cs="Times New Roman"/>
          <w:b/>
          <w:bCs/>
          <w:sz w:val="24"/>
          <w:szCs w:val="24"/>
          <w:lang w:val="en-US" w:eastAsia="zh-CN"/>
        </w:rPr>
        <w:t>已完成检测项目及结果状态</w:t>
      </w:r>
    </w:p>
    <w:p w14:paraId="4F6AC6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10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展示内容（每条检测项目）：</w:t>
      </w:r>
    </w:p>
    <w:p w14:paraId="0E1B3FAC">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检测项目名称</w:t>
      </w:r>
    </w:p>
    <w:p w14:paraId="695DD21B">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所属模块</w:t>
      </w:r>
    </w:p>
    <w:p w14:paraId="667CC510">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最近一次检测时间</w:t>
      </w:r>
    </w:p>
    <w:p w14:paraId="79CD7793">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0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结果状态：正常</w:t>
      </w:r>
      <w:r>
        <w:rPr>
          <w:rFonts w:hint="eastAsia" w:ascii="Times New Roman" w:hAnsi="Times New Roman" w:eastAsia="楷体" w:cs="Times New Roman"/>
          <w:b w:val="0"/>
          <w:bCs w:val="0"/>
          <w:sz w:val="24"/>
          <w:szCs w:val="24"/>
          <w:lang w:val="en-US" w:eastAsia="zh-CN"/>
        </w:rPr>
        <w:t>/</w:t>
      </w:r>
      <w:r>
        <w:rPr>
          <w:rFonts w:hint="default" w:ascii="Times New Roman" w:hAnsi="Times New Roman" w:eastAsia="楷体" w:cs="Times New Roman"/>
          <w:b w:val="0"/>
          <w:bCs w:val="0"/>
          <w:sz w:val="24"/>
          <w:szCs w:val="24"/>
          <w:lang w:val="en-US" w:eastAsia="zh-CN"/>
        </w:rPr>
        <w:t>异常</w:t>
      </w:r>
    </w:p>
    <w:p w14:paraId="65BFEA2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bCs/>
          <w:sz w:val="24"/>
          <w:szCs w:val="24"/>
          <w:lang w:val="en-US" w:eastAsia="zh-CN"/>
        </w:rPr>
        <w:t>4.与健康档案</w:t>
      </w:r>
      <w:r>
        <w:rPr>
          <w:rFonts w:hint="default" w:ascii="Times New Roman" w:hAnsi="Times New Roman" w:eastAsia="楷体" w:cs="Times New Roman"/>
          <w:b/>
          <w:bCs/>
          <w:sz w:val="24"/>
          <w:szCs w:val="24"/>
          <w:lang w:val="en-US" w:eastAsia="zh-CN"/>
        </w:rPr>
        <w:t>交互</w:t>
      </w:r>
      <w:r>
        <w:rPr>
          <w:rFonts w:hint="eastAsia" w:ascii="Times New Roman" w:hAnsi="Times New Roman" w:eastAsia="楷体" w:cs="Times New Roman"/>
          <w:b/>
          <w:bCs/>
          <w:sz w:val="24"/>
          <w:szCs w:val="24"/>
          <w:lang w:val="en-US" w:eastAsia="zh-CN"/>
        </w:rPr>
        <w:t>功能（可做可不做）</w:t>
      </w:r>
    </w:p>
    <w:p w14:paraId="55DC01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sectPr>
          <w:pgSz w:w="11906" w:h="16838"/>
          <w:pgMar w:top="1440" w:right="1800" w:bottom="1440" w:left="1800" w:header="851" w:footer="992" w:gutter="0"/>
          <w:cols w:space="425" w:num="1"/>
          <w:docGrid w:type="lines" w:linePitch="312" w:charSpace="0"/>
        </w:sectPr>
      </w:pPr>
      <w:r>
        <w:rPr>
          <w:rFonts w:hint="default" w:ascii="Times New Roman" w:hAnsi="Times New Roman" w:eastAsia="楷体" w:cs="Times New Roman"/>
          <w:b w:val="0"/>
          <w:bCs w:val="0"/>
          <w:sz w:val="24"/>
          <w:szCs w:val="24"/>
          <w:lang w:val="en-US" w:eastAsia="zh-CN"/>
        </w:rPr>
        <w:t>点击检测项目 → 查看</w:t>
      </w:r>
      <w:r>
        <w:rPr>
          <w:rFonts w:hint="eastAsia" w:ascii="Times New Roman" w:hAnsi="Times New Roman" w:eastAsia="楷体" w:cs="Times New Roman"/>
          <w:b w:val="0"/>
          <w:bCs w:val="0"/>
          <w:sz w:val="24"/>
          <w:szCs w:val="24"/>
          <w:lang w:val="en-US" w:eastAsia="zh-CN"/>
        </w:rPr>
        <w:t>检测历史记录</w:t>
      </w:r>
    </w:p>
    <w:p w14:paraId="0635009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 xml:space="preserve">附件一 </w:t>
      </w:r>
    </w:p>
    <w:p w14:paraId="5722C45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一级目录异常补充说明</w:t>
      </w:r>
    </w:p>
    <w:p w14:paraId="15FA28F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一、背景：</w:t>
      </w:r>
    </w:p>
    <w:p w14:paraId="23970C8E">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每个一级目录下包含多个产品评估结果。</w:t>
      </w:r>
    </w:p>
    <w:p w14:paraId="73114D3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 xml:space="preserve">2. </w:t>
      </w:r>
      <w:r>
        <w:rPr>
          <w:rFonts w:hint="default" w:ascii="Times New Roman" w:hAnsi="Times New Roman" w:eastAsia="楷体" w:cs="Times New Roman"/>
          <w:b w:val="0"/>
          <w:bCs w:val="0"/>
          <w:sz w:val="24"/>
          <w:szCs w:val="24"/>
          <w:lang w:val="en-US" w:eastAsia="zh-CN"/>
        </w:rPr>
        <w:t>当一个一级目录（模块）下面有多个产品 / 子评估时，如何把“多个结果”收敛为该一级目录的一个总标签：正常 / 异常</w:t>
      </w:r>
    </w:p>
    <w:p w14:paraId="50400B4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二、结论：</w:t>
      </w:r>
    </w:p>
    <w:p w14:paraId="236E8AA2">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将一级目录下的产品分为：核心产品和辅助产品</w:t>
      </w:r>
    </w:p>
    <w:p w14:paraId="529EF4B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 xml:space="preserve">2. </w:t>
      </w:r>
      <w:r>
        <w:rPr>
          <w:rFonts w:hint="default" w:ascii="Times New Roman" w:hAnsi="Times New Roman" w:eastAsia="楷体" w:cs="Times New Roman"/>
          <w:b w:val="0"/>
          <w:bCs w:val="0"/>
          <w:sz w:val="24"/>
          <w:szCs w:val="24"/>
          <w:lang w:val="en-US" w:eastAsia="zh-CN"/>
        </w:rPr>
        <w:t>当且仅当该一级目录下，存在至少 1 个被标记为“核心产品”的评估结果为异常时，该一级目录整体状态判定为：异常。</w:t>
      </w:r>
    </w:p>
    <w:p w14:paraId="69247D4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 xml:space="preserve">3. </w:t>
      </w:r>
      <w:r>
        <w:rPr>
          <w:rFonts w:hint="default" w:ascii="Times New Roman" w:hAnsi="Times New Roman" w:eastAsia="楷体" w:cs="Times New Roman"/>
          <w:b w:val="0"/>
          <w:bCs w:val="0"/>
          <w:sz w:val="24"/>
          <w:szCs w:val="24"/>
          <w:lang w:val="en-US" w:eastAsia="zh-CN"/>
        </w:rPr>
        <w:t>若仅存在辅助产品异常，不触发一级目录异常判定。</w:t>
      </w:r>
    </w:p>
    <w:p w14:paraId="62FADA3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b/>
          <w:bCs/>
          <w:sz w:val="24"/>
          <w:szCs w:val="24"/>
          <w:lang w:val="en-US" w:eastAsia="zh-CN"/>
        </w:rPr>
      </w:pPr>
    </w:p>
    <w:p w14:paraId="78CA32A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联动提示补充说明</w:t>
      </w:r>
    </w:p>
    <w:p w14:paraId="577033AD">
      <w:pPr>
        <w:spacing w:line="288" w:lineRule="auto"/>
        <w:ind w:firstLine="482" w:firstLineChars="200"/>
        <w:jc w:val="center"/>
        <w:rPr>
          <w:rFonts w:ascii="Times New Roman" w:hAnsi="Times New Roman" w:eastAsia="楷体"/>
          <w:b/>
          <w:bCs/>
          <w:sz w:val="24"/>
        </w:rPr>
      </w:pPr>
      <w:r>
        <w:rPr>
          <w:rFonts w:hint="eastAsia" w:ascii="Times New Roman" w:hAnsi="Times New Roman" w:eastAsia="楷体"/>
          <w:b/>
          <w:bCs/>
          <w:sz w:val="24"/>
        </w:rPr>
        <w:t>联动模块总表</w:t>
      </w:r>
    </w:p>
    <w:tbl>
      <w:tblPr>
        <w:tblStyle w:val="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455"/>
        <w:gridCol w:w="3941"/>
      </w:tblGrid>
      <w:tr w14:paraId="7866E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3410" w:type="dxa"/>
            <w:shd w:val="clear" w:color="auto" w:fill="auto"/>
            <w:vAlign w:val="center"/>
          </w:tcPr>
          <w:p w14:paraId="72212BD8">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rPr>
            </w:pPr>
            <w:r>
              <w:rPr>
                <w:rFonts w:hint="eastAsia" w:ascii="Times New Roman" w:hAnsi="Times New Roman" w:eastAsia="楷体"/>
                <w:sz w:val="24"/>
                <w:lang w:val="en-US" w:eastAsia="zh-CN"/>
              </w:rPr>
              <w:t>预防干预（一级标题）</w:t>
            </w:r>
          </w:p>
        </w:tc>
        <w:tc>
          <w:tcPr>
            <w:tcW w:w="3896" w:type="dxa"/>
            <w:shd w:val="clear" w:color="auto" w:fill="auto"/>
            <w:vAlign w:val="center"/>
          </w:tcPr>
          <w:p w14:paraId="39AFDAE7">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default" w:ascii="Times New Roman" w:hAnsi="Times New Roman" w:eastAsia="楷体"/>
                <w:sz w:val="24"/>
                <w:lang w:val="en-US"/>
              </w:rPr>
            </w:pPr>
            <w:r>
              <w:rPr>
                <w:rFonts w:hint="eastAsia" w:ascii="Times New Roman" w:hAnsi="Times New Roman" w:eastAsia="楷体"/>
                <w:sz w:val="24"/>
                <w:lang w:val="en-US" w:eastAsia="zh-CN"/>
              </w:rPr>
              <w:t>抗衰管理（一级标题）</w:t>
            </w:r>
          </w:p>
        </w:tc>
      </w:tr>
      <w:tr w14:paraId="7B985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10" w:type="dxa"/>
            <w:shd w:val="clear" w:color="auto" w:fill="auto"/>
            <w:vAlign w:val="center"/>
          </w:tcPr>
          <w:p w14:paraId="2D5A0B75">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rPr>
            </w:pPr>
            <w:r>
              <w:rPr>
                <w:rFonts w:hint="eastAsia" w:ascii="Times New Roman" w:hAnsi="Times New Roman" w:eastAsia="楷体"/>
                <w:sz w:val="24"/>
                <w:lang w:val="en-US" w:eastAsia="zh-CN"/>
              </w:rPr>
              <w:t>核心体液与代谢监测</w:t>
            </w:r>
          </w:p>
        </w:tc>
        <w:tc>
          <w:tcPr>
            <w:tcW w:w="3896" w:type="dxa"/>
            <w:shd w:val="clear" w:color="auto" w:fill="auto"/>
            <w:vAlign w:val="center"/>
          </w:tcPr>
          <w:p w14:paraId="131C3390">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lang w:val="en-US" w:eastAsia="zh-CN"/>
              </w:rPr>
            </w:pPr>
            <w:r>
              <w:rPr>
                <w:rFonts w:hint="eastAsia" w:ascii="Times New Roman" w:hAnsi="Times New Roman" w:eastAsia="楷体"/>
                <w:sz w:val="24"/>
                <w:lang w:val="en-US" w:eastAsia="zh-CN"/>
              </w:rPr>
              <w:t>代谢与内分泌抗衰</w:t>
            </w:r>
          </w:p>
          <w:p w14:paraId="42EF93CD">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rPr>
            </w:pPr>
            <w:r>
              <w:rPr>
                <w:rFonts w:hint="eastAsia" w:ascii="Times New Roman" w:hAnsi="Times New Roman" w:eastAsia="楷体"/>
                <w:sz w:val="24"/>
                <w:lang w:val="en-US" w:eastAsia="zh-CN"/>
              </w:rPr>
              <w:t>炎症与氧化防控</w:t>
            </w:r>
          </w:p>
        </w:tc>
      </w:tr>
      <w:tr w14:paraId="5EFB2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10" w:type="dxa"/>
            <w:shd w:val="clear" w:color="auto" w:fill="auto"/>
            <w:vAlign w:val="center"/>
          </w:tcPr>
          <w:p w14:paraId="7CAA155C">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rPr>
            </w:pPr>
            <w:r>
              <w:rPr>
                <w:rFonts w:hint="eastAsia" w:ascii="Times New Roman" w:hAnsi="Times New Roman" w:eastAsia="楷体"/>
                <w:sz w:val="24"/>
                <w:lang w:val="en-US" w:eastAsia="zh-CN"/>
              </w:rPr>
              <w:t>身体功能与状态评估</w:t>
            </w:r>
          </w:p>
        </w:tc>
        <w:tc>
          <w:tcPr>
            <w:tcW w:w="3896" w:type="dxa"/>
            <w:shd w:val="clear" w:color="auto" w:fill="auto"/>
            <w:vAlign w:val="center"/>
          </w:tcPr>
          <w:p w14:paraId="752EEBEA">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lang w:val="en-US" w:eastAsia="zh-CN"/>
              </w:rPr>
            </w:pPr>
            <w:r>
              <w:rPr>
                <w:rFonts w:hint="eastAsia" w:ascii="Times New Roman" w:hAnsi="Times New Roman" w:eastAsia="楷体"/>
                <w:sz w:val="24"/>
                <w:lang w:val="en-US" w:eastAsia="zh-CN"/>
              </w:rPr>
              <w:t>体能与系统功能维护</w:t>
            </w:r>
          </w:p>
          <w:p w14:paraId="4D424780">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rPr>
            </w:pPr>
            <w:r>
              <w:rPr>
                <w:rFonts w:hint="eastAsia" w:ascii="Times New Roman" w:hAnsi="Times New Roman" w:eastAsia="楷体"/>
                <w:sz w:val="24"/>
                <w:lang w:val="en-US" w:eastAsia="zh-CN"/>
              </w:rPr>
              <w:t>睡眠与昼夜节律管理</w:t>
            </w:r>
          </w:p>
        </w:tc>
      </w:tr>
      <w:tr w14:paraId="580F0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10" w:type="dxa"/>
            <w:shd w:val="clear" w:color="auto" w:fill="auto"/>
            <w:vAlign w:val="center"/>
          </w:tcPr>
          <w:p w14:paraId="51D828DE">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rPr>
            </w:pPr>
            <w:r>
              <w:rPr>
                <w:rFonts w:hint="eastAsia" w:ascii="Times New Roman" w:hAnsi="Times New Roman" w:eastAsia="楷体"/>
                <w:sz w:val="24"/>
                <w:lang w:val="en-US" w:eastAsia="zh-CN"/>
              </w:rPr>
              <w:t>营养与代谢支持</w:t>
            </w:r>
          </w:p>
        </w:tc>
        <w:tc>
          <w:tcPr>
            <w:tcW w:w="3896" w:type="dxa"/>
            <w:shd w:val="clear" w:color="auto" w:fill="auto"/>
            <w:vAlign w:val="center"/>
          </w:tcPr>
          <w:p w14:paraId="3347FDD2">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lang w:val="en-US" w:eastAsia="zh-CN"/>
              </w:rPr>
            </w:pPr>
            <w:r>
              <w:rPr>
                <w:rFonts w:hint="eastAsia" w:ascii="Times New Roman" w:hAnsi="Times New Roman" w:eastAsia="楷体"/>
                <w:sz w:val="24"/>
                <w:lang w:val="en-US" w:eastAsia="zh-CN"/>
              </w:rPr>
              <w:t>饮食与营养调控</w:t>
            </w:r>
          </w:p>
          <w:p w14:paraId="6A253AA5">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rPr>
            </w:pPr>
            <w:r>
              <w:rPr>
                <w:rFonts w:hint="eastAsia" w:ascii="Times New Roman" w:hAnsi="Times New Roman" w:eastAsia="楷体"/>
                <w:sz w:val="24"/>
                <w:lang w:val="en-US" w:eastAsia="zh-CN"/>
              </w:rPr>
              <w:t>激素稳态与激素衰老管理</w:t>
            </w:r>
          </w:p>
        </w:tc>
      </w:tr>
      <w:tr w14:paraId="1BE41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10" w:type="dxa"/>
            <w:shd w:val="clear" w:color="auto" w:fill="auto"/>
            <w:vAlign w:val="center"/>
          </w:tcPr>
          <w:p w14:paraId="588ECC52">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rPr>
            </w:pPr>
            <w:r>
              <w:rPr>
                <w:rFonts w:hint="eastAsia" w:ascii="Times New Roman" w:hAnsi="Times New Roman" w:eastAsia="楷体"/>
                <w:sz w:val="24"/>
                <w:lang w:val="en-US" w:eastAsia="zh-CN"/>
              </w:rPr>
              <w:t>慢病风险早筛与管理</w:t>
            </w:r>
          </w:p>
        </w:tc>
        <w:tc>
          <w:tcPr>
            <w:tcW w:w="3896" w:type="dxa"/>
            <w:shd w:val="clear" w:color="auto" w:fill="auto"/>
            <w:vAlign w:val="center"/>
          </w:tcPr>
          <w:p w14:paraId="51E9E039">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lang w:val="en-US" w:eastAsia="zh-CN"/>
              </w:rPr>
            </w:pPr>
            <w:r>
              <w:rPr>
                <w:rFonts w:hint="eastAsia" w:ascii="Times New Roman" w:hAnsi="Times New Roman" w:eastAsia="楷体"/>
                <w:sz w:val="24"/>
                <w:lang w:val="en-US" w:eastAsia="zh-CN"/>
              </w:rPr>
              <w:t>代谢与内分泌抗衰</w:t>
            </w:r>
          </w:p>
          <w:p w14:paraId="57C27E2A">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rPr>
            </w:pPr>
            <w:r>
              <w:rPr>
                <w:rFonts w:hint="eastAsia" w:ascii="Times New Roman" w:hAnsi="Times New Roman" w:eastAsia="楷体"/>
                <w:sz w:val="24"/>
                <w:lang w:val="en-US" w:eastAsia="zh-CN"/>
              </w:rPr>
              <w:t>炎症与氧化防控</w:t>
            </w:r>
          </w:p>
        </w:tc>
      </w:tr>
      <w:tr w14:paraId="73A1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3410" w:type="dxa"/>
            <w:shd w:val="clear" w:color="auto" w:fill="auto"/>
            <w:vAlign w:val="center"/>
          </w:tcPr>
          <w:p w14:paraId="0D17338D">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rPr>
            </w:pPr>
            <w:r>
              <w:rPr>
                <w:rFonts w:hint="eastAsia" w:ascii="Times New Roman" w:hAnsi="Times New Roman" w:eastAsia="楷体"/>
                <w:sz w:val="24"/>
                <w:lang w:val="en-US" w:eastAsia="zh-CN"/>
              </w:rPr>
              <w:t>癌症早期风险检测</w:t>
            </w:r>
          </w:p>
        </w:tc>
        <w:tc>
          <w:tcPr>
            <w:tcW w:w="3896" w:type="dxa"/>
            <w:shd w:val="clear" w:color="auto" w:fill="auto"/>
            <w:vAlign w:val="center"/>
          </w:tcPr>
          <w:p w14:paraId="7658486E">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lang w:val="en-US" w:eastAsia="zh-CN"/>
              </w:rPr>
            </w:pPr>
            <w:r>
              <w:rPr>
                <w:rFonts w:hint="eastAsia" w:ascii="Times New Roman" w:hAnsi="Times New Roman" w:eastAsia="楷体"/>
                <w:sz w:val="24"/>
                <w:lang w:val="en-US" w:eastAsia="zh-CN"/>
              </w:rPr>
              <w:t>衰老细胞识别与清除</w:t>
            </w:r>
          </w:p>
          <w:p w14:paraId="36D59273">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rPr>
            </w:pPr>
            <w:r>
              <w:rPr>
                <w:rFonts w:hint="eastAsia" w:ascii="Times New Roman" w:hAnsi="Times New Roman" w:eastAsia="楷体"/>
                <w:sz w:val="24"/>
                <w:lang w:val="en-US" w:eastAsia="zh-CN"/>
              </w:rPr>
              <w:t>炎症与氧化防控</w:t>
            </w:r>
          </w:p>
        </w:tc>
      </w:tr>
      <w:tr w14:paraId="0AEB7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10" w:type="dxa"/>
            <w:shd w:val="clear" w:color="auto" w:fill="auto"/>
            <w:vAlign w:val="center"/>
          </w:tcPr>
          <w:p w14:paraId="1AC57940">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rPr>
            </w:pPr>
            <w:r>
              <w:rPr>
                <w:rFonts w:hint="eastAsia" w:ascii="Times New Roman" w:hAnsi="Times New Roman" w:eastAsia="楷体"/>
                <w:sz w:val="24"/>
                <w:lang w:val="en-US" w:eastAsia="zh-CN"/>
              </w:rPr>
              <w:t>功能优化与系统恢复</w:t>
            </w:r>
          </w:p>
        </w:tc>
        <w:tc>
          <w:tcPr>
            <w:tcW w:w="3896" w:type="dxa"/>
            <w:shd w:val="clear" w:color="auto" w:fill="auto"/>
            <w:vAlign w:val="center"/>
          </w:tcPr>
          <w:p w14:paraId="603AE4B1">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lang w:val="en-US" w:eastAsia="zh-CN"/>
              </w:rPr>
            </w:pPr>
            <w:r>
              <w:rPr>
                <w:rFonts w:hint="eastAsia" w:ascii="Times New Roman" w:hAnsi="Times New Roman" w:eastAsia="楷体"/>
                <w:sz w:val="24"/>
                <w:lang w:val="en-US" w:eastAsia="zh-CN"/>
              </w:rPr>
              <w:t>体能与系统功能维护</w:t>
            </w:r>
          </w:p>
          <w:p w14:paraId="21626DEC">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rPr>
            </w:pPr>
            <w:r>
              <w:rPr>
                <w:rFonts w:hint="eastAsia" w:ascii="Times New Roman" w:hAnsi="Times New Roman" w:eastAsia="楷体"/>
                <w:sz w:val="24"/>
                <w:lang w:val="en-US" w:eastAsia="zh-CN"/>
              </w:rPr>
              <w:t>饮食与营养调控</w:t>
            </w:r>
          </w:p>
        </w:tc>
      </w:tr>
      <w:tr w14:paraId="785F0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10" w:type="dxa"/>
            <w:shd w:val="clear" w:color="auto" w:fill="auto"/>
            <w:vAlign w:val="center"/>
          </w:tcPr>
          <w:p w14:paraId="0724E9C6">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rPr>
            </w:pPr>
            <w:r>
              <w:rPr>
                <w:rFonts w:hint="eastAsia" w:ascii="Times New Roman" w:hAnsi="Times New Roman" w:eastAsia="楷体"/>
                <w:sz w:val="24"/>
                <w:lang w:val="en-US" w:eastAsia="zh-CN"/>
              </w:rPr>
              <w:t>重点人群健康管理</w:t>
            </w:r>
          </w:p>
        </w:tc>
        <w:tc>
          <w:tcPr>
            <w:tcW w:w="3896" w:type="dxa"/>
            <w:shd w:val="clear" w:color="auto" w:fill="auto"/>
            <w:vAlign w:val="center"/>
          </w:tcPr>
          <w:p w14:paraId="264AE1B8">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lang w:val="en-US" w:eastAsia="zh-CN"/>
              </w:rPr>
            </w:pPr>
            <w:r>
              <w:rPr>
                <w:rFonts w:hint="eastAsia" w:ascii="Times New Roman" w:hAnsi="Times New Roman" w:eastAsia="楷体"/>
                <w:sz w:val="24"/>
                <w:lang w:val="en-US" w:eastAsia="zh-CN"/>
              </w:rPr>
              <w:t>激素稳态与激素衰老管理</w:t>
            </w:r>
          </w:p>
          <w:p w14:paraId="51B415CC">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rPr>
            </w:pPr>
            <w:r>
              <w:rPr>
                <w:rFonts w:hint="eastAsia" w:ascii="Times New Roman" w:hAnsi="Times New Roman" w:eastAsia="楷体"/>
                <w:sz w:val="24"/>
                <w:lang w:val="en-US" w:eastAsia="zh-CN"/>
              </w:rPr>
              <w:t>认知与心理功能维护</w:t>
            </w:r>
          </w:p>
        </w:tc>
      </w:tr>
    </w:tbl>
    <w:p w14:paraId="011A9A08">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Times New Roman" w:hAnsi="Times New Roman" w:eastAsia="楷体" w:cs="Times New Roman"/>
          <w:b w:val="0"/>
          <w:bCs w:val="0"/>
          <w:sz w:val="24"/>
          <w:szCs w:val="24"/>
          <w:lang w:val="en-US" w:eastAsia="zh-CN"/>
        </w:rPr>
      </w:pPr>
    </w:p>
    <w:p w14:paraId="10A29301">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Times New Roman" w:hAnsi="Times New Roman" w:eastAsia="楷体" w:cs="Times New Roman"/>
          <w:b w:val="0"/>
          <w:b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608437"/>
    <w:multiLevelType w:val="singleLevel"/>
    <w:tmpl w:val="93608437"/>
    <w:lvl w:ilvl="0" w:tentative="0">
      <w:start w:val="1"/>
      <w:numFmt w:val="decimalEnclosedCircleChinese"/>
      <w:suff w:val="nothing"/>
      <w:lvlText w:val="%1　"/>
      <w:lvlJc w:val="left"/>
      <w:pPr>
        <w:ind w:left="0" w:firstLine="400"/>
      </w:pPr>
      <w:rPr>
        <w:rFonts w:hint="eastAsia"/>
      </w:rPr>
    </w:lvl>
  </w:abstractNum>
  <w:abstractNum w:abstractNumId="1">
    <w:nsid w:val="BFFBC50D"/>
    <w:multiLevelType w:val="singleLevel"/>
    <w:tmpl w:val="BFFBC50D"/>
    <w:lvl w:ilvl="0" w:tentative="0">
      <w:start w:val="1"/>
      <w:numFmt w:val="decimalEnclosedCircleChinese"/>
      <w:suff w:val="nothing"/>
      <w:lvlText w:val="%1　"/>
      <w:lvlJc w:val="left"/>
      <w:pPr>
        <w:ind w:left="0" w:firstLine="400"/>
      </w:pPr>
      <w:rPr>
        <w:rFonts w:hint="eastAsia"/>
      </w:rPr>
    </w:lvl>
  </w:abstractNum>
  <w:abstractNum w:abstractNumId="2">
    <w:nsid w:val="C36F7D83"/>
    <w:multiLevelType w:val="singleLevel"/>
    <w:tmpl w:val="C36F7D83"/>
    <w:lvl w:ilvl="0" w:tentative="0">
      <w:start w:val="1"/>
      <w:numFmt w:val="decimalEnclosedCircleChinese"/>
      <w:suff w:val="nothing"/>
      <w:lvlText w:val="%1　"/>
      <w:lvlJc w:val="left"/>
      <w:pPr>
        <w:ind w:left="0" w:firstLine="400"/>
      </w:pPr>
      <w:rPr>
        <w:rFonts w:hint="eastAsia"/>
      </w:rPr>
    </w:lvl>
  </w:abstractNum>
  <w:abstractNum w:abstractNumId="3">
    <w:nsid w:val="D03D7F28"/>
    <w:multiLevelType w:val="singleLevel"/>
    <w:tmpl w:val="D03D7F28"/>
    <w:lvl w:ilvl="0" w:tentative="0">
      <w:start w:val="1"/>
      <w:numFmt w:val="decimal"/>
      <w:suff w:val="space"/>
      <w:lvlText w:val="%1."/>
      <w:lvlJc w:val="left"/>
    </w:lvl>
  </w:abstractNum>
  <w:abstractNum w:abstractNumId="4">
    <w:nsid w:val="D6A57AEF"/>
    <w:multiLevelType w:val="singleLevel"/>
    <w:tmpl w:val="D6A57AEF"/>
    <w:lvl w:ilvl="0" w:tentative="0">
      <w:start w:val="1"/>
      <w:numFmt w:val="decimalEnclosedCircleChinese"/>
      <w:suff w:val="nothing"/>
      <w:lvlText w:val="%1　"/>
      <w:lvlJc w:val="left"/>
      <w:pPr>
        <w:ind w:left="0" w:firstLine="400"/>
      </w:pPr>
      <w:rPr>
        <w:rFonts w:hint="eastAsia"/>
      </w:rPr>
    </w:lvl>
  </w:abstractNum>
  <w:abstractNum w:abstractNumId="5">
    <w:nsid w:val="DBF907AE"/>
    <w:multiLevelType w:val="singleLevel"/>
    <w:tmpl w:val="DBF907AE"/>
    <w:lvl w:ilvl="0" w:tentative="0">
      <w:start w:val="1"/>
      <w:numFmt w:val="decimal"/>
      <w:lvlText w:val="(%1)"/>
      <w:lvlJc w:val="left"/>
      <w:pPr>
        <w:ind w:left="425" w:hanging="425"/>
      </w:pPr>
      <w:rPr>
        <w:rFonts w:hint="default"/>
      </w:rPr>
    </w:lvl>
  </w:abstractNum>
  <w:abstractNum w:abstractNumId="6">
    <w:nsid w:val="F56F434E"/>
    <w:multiLevelType w:val="singleLevel"/>
    <w:tmpl w:val="F56F434E"/>
    <w:lvl w:ilvl="0" w:tentative="0">
      <w:start w:val="1"/>
      <w:numFmt w:val="decimalEnclosedCircleChinese"/>
      <w:suff w:val="nothing"/>
      <w:lvlText w:val="%1　"/>
      <w:lvlJc w:val="left"/>
      <w:pPr>
        <w:ind w:left="0" w:firstLine="400"/>
      </w:pPr>
      <w:rPr>
        <w:rFonts w:hint="eastAsia"/>
      </w:rPr>
    </w:lvl>
  </w:abstractNum>
  <w:abstractNum w:abstractNumId="7">
    <w:nsid w:val="020B536B"/>
    <w:multiLevelType w:val="singleLevel"/>
    <w:tmpl w:val="020B536B"/>
    <w:lvl w:ilvl="0" w:tentative="0">
      <w:start w:val="2"/>
      <w:numFmt w:val="upperLetter"/>
      <w:suff w:val="space"/>
      <w:lvlText w:val="%1."/>
      <w:lvlJc w:val="left"/>
    </w:lvl>
  </w:abstractNum>
  <w:abstractNum w:abstractNumId="8">
    <w:nsid w:val="1C69CAE5"/>
    <w:multiLevelType w:val="singleLevel"/>
    <w:tmpl w:val="1C69CAE5"/>
    <w:lvl w:ilvl="0" w:tentative="0">
      <w:start w:val="1"/>
      <w:numFmt w:val="decimalEnclosedCircleChinese"/>
      <w:suff w:val="nothing"/>
      <w:lvlText w:val="%1　"/>
      <w:lvlJc w:val="left"/>
      <w:pPr>
        <w:ind w:left="0" w:firstLine="400"/>
      </w:pPr>
      <w:rPr>
        <w:rFonts w:hint="eastAsia"/>
      </w:rPr>
    </w:lvl>
  </w:abstractNum>
  <w:abstractNum w:abstractNumId="9">
    <w:nsid w:val="49B4F125"/>
    <w:multiLevelType w:val="singleLevel"/>
    <w:tmpl w:val="49B4F125"/>
    <w:lvl w:ilvl="0" w:tentative="0">
      <w:start w:val="1"/>
      <w:numFmt w:val="decimal"/>
      <w:suff w:val="space"/>
      <w:lvlText w:val="%1."/>
      <w:lvlJc w:val="left"/>
    </w:lvl>
  </w:abstractNum>
  <w:abstractNum w:abstractNumId="10">
    <w:nsid w:val="4BB1E4B3"/>
    <w:multiLevelType w:val="singleLevel"/>
    <w:tmpl w:val="4BB1E4B3"/>
    <w:lvl w:ilvl="0" w:tentative="0">
      <w:start w:val="2"/>
      <w:numFmt w:val="decimal"/>
      <w:lvlText w:val="%1."/>
      <w:lvlJc w:val="left"/>
      <w:pPr>
        <w:tabs>
          <w:tab w:val="left" w:pos="312"/>
        </w:tabs>
      </w:pPr>
    </w:lvl>
  </w:abstractNum>
  <w:num w:numId="1">
    <w:abstractNumId w:val="5"/>
  </w:num>
  <w:num w:numId="2">
    <w:abstractNumId w:val="10"/>
  </w:num>
  <w:num w:numId="3">
    <w:abstractNumId w:val="7"/>
  </w:num>
  <w:num w:numId="4">
    <w:abstractNumId w:val="8"/>
  </w:num>
  <w:num w:numId="5">
    <w:abstractNumId w:val="6"/>
  </w:num>
  <w:num w:numId="6">
    <w:abstractNumId w:val="1"/>
  </w:num>
  <w:num w:numId="7">
    <w:abstractNumId w:val="2"/>
  </w:num>
  <w:num w:numId="8">
    <w:abstractNumId w:val="0"/>
  </w:num>
  <w:num w:numId="9">
    <w:abstractNumId w:val="4"/>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C9494C"/>
    <w:rsid w:val="0587039E"/>
    <w:rsid w:val="06930D7E"/>
    <w:rsid w:val="097207A3"/>
    <w:rsid w:val="0E6A2D0C"/>
    <w:rsid w:val="0E924011"/>
    <w:rsid w:val="15657D89"/>
    <w:rsid w:val="15E92769"/>
    <w:rsid w:val="178766DD"/>
    <w:rsid w:val="18F90F15"/>
    <w:rsid w:val="213A031C"/>
    <w:rsid w:val="226D64CF"/>
    <w:rsid w:val="27B54BA0"/>
    <w:rsid w:val="27CF4E14"/>
    <w:rsid w:val="2B0A5203"/>
    <w:rsid w:val="2EDC6EB7"/>
    <w:rsid w:val="34781430"/>
    <w:rsid w:val="3A7C32FC"/>
    <w:rsid w:val="3ADD023E"/>
    <w:rsid w:val="3C1063F2"/>
    <w:rsid w:val="3EF25F21"/>
    <w:rsid w:val="3F130550"/>
    <w:rsid w:val="43EA7528"/>
    <w:rsid w:val="446B68BB"/>
    <w:rsid w:val="45BB117C"/>
    <w:rsid w:val="45F96148"/>
    <w:rsid w:val="48B843DB"/>
    <w:rsid w:val="48FD1AAC"/>
    <w:rsid w:val="4DEB6377"/>
    <w:rsid w:val="516A1CA8"/>
    <w:rsid w:val="564A4E32"/>
    <w:rsid w:val="5AC9494C"/>
    <w:rsid w:val="5E2A2EEB"/>
    <w:rsid w:val="617C580C"/>
    <w:rsid w:val="656F79A3"/>
    <w:rsid w:val="670C13E0"/>
    <w:rsid w:val="674768BC"/>
    <w:rsid w:val="694F7CAA"/>
    <w:rsid w:val="6AA638F9"/>
    <w:rsid w:val="6CA87DFD"/>
    <w:rsid w:val="6CD7423E"/>
    <w:rsid w:val="6DC24EEE"/>
    <w:rsid w:val="6FAD46D2"/>
    <w:rsid w:val="6FD74555"/>
    <w:rsid w:val="7016507D"/>
    <w:rsid w:val="70D171F6"/>
    <w:rsid w:val="73BC5F3C"/>
    <w:rsid w:val="750951B1"/>
    <w:rsid w:val="77BA4E88"/>
    <w:rsid w:val="791A3E30"/>
    <w:rsid w:val="7BA2010D"/>
    <w:rsid w:val="7C2A25DC"/>
    <w:rsid w:val="7E3F1C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2940</Words>
  <Characters>2993</Characters>
  <Lines>0</Lines>
  <Paragraphs>0</Paragraphs>
  <TotalTime>0</TotalTime>
  <ScaleCrop>false</ScaleCrop>
  <LinksUpToDate>false</LinksUpToDate>
  <CharactersWithSpaces>3102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2025-12-17T01:50:00Z</dcterms:created>
  <dc:creator>122022010216</dc:creator>
  <cp:lastModifiedBy>？？？</cp:lastModifiedBy>
  <cp:lastPrinted>2025-12-17T08:00:00Z</cp:lastPrinted>
  <dcterms:modified xsi:type="dcterms:W3CDTF">2025-12-19T07:20:58Z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D4ED7471B17143AC849F4E9ACE32B05E_13</vt:lpwstr>
  </property>
  <property fmtid="{D5CDD505-2E9C-101B-9397-08002B2CF9AE}" pid="4" name="KSOTemplateDocerSaveRecord">
    <vt:lpwstr>eyJoZGlkIjoiMDM0MGYxNmUxNGQ3MTNiM2QxOTBjMWNiYmVkNTY2ZTMiLCJ1c2VySWQiOiIxNzIxNDMxMzQ3In0=</vt:lpwstr>
  </property>
</Properties>
</file>