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E3BD7">
      <w:pPr>
        <w:jc w:val="center"/>
        <w:rPr>
          <w:rFonts w:hint="default" w:ascii="Times New Roman" w:hAnsi="Times New Roman" w:eastAsia="楷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 w:cs="Times New Roman"/>
          <w:b/>
          <w:bCs/>
          <w:sz w:val="28"/>
          <w:szCs w:val="28"/>
          <w:lang w:val="en-US" w:eastAsia="zh-CN"/>
        </w:rPr>
        <w:t>97个指标对应的22个系统干预方案触发条件</w:t>
      </w:r>
    </w:p>
    <w:p w14:paraId="6D946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71B6A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3A9D2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val="en-US" w:eastAsia="zh-CN"/>
        </w:rPr>
        <w:t>一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yellow"/>
        </w:rPr>
        <w:t>心血管系统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val="en-US" w:eastAsia="zh-CN"/>
        </w:rPr>
        <w:t>25个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）</w:t>
      </w:r>
    </w:p>
    <w:p w14:paraId="64BF6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1525F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心血管稳定状态 </w:t>
      </w:r>
    </w:p>
    <w:p w14:paraId="60916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心血管负荷偏高状态  </w:t>
      </w:r>
    </w:p>
    <w:p w14:paraId="362AB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心血管事件风险敏感状态</w:t>
      </w:r>
    </w:p>
    <w:p w14:paraId="71CF8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67419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05E68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注：</w:t>
      </w:r>
      <w:r>
        <w:rPr>
          <w:rFonts w:ascii="Times New Roman" w:hAnsi="Times New Roman" w:eastAsia="楷体" w:cs="宋体"/>
          <w:kern w:val="0"/>
          <w:sz w:val="24"/>
          <w:szCs w:val="24"/>
          <w:lang w:val="en-US" w:eastAsia="zh-CN" w:bidi="ar"/>
        </w:rPr>
        <w:t>↑</w:t>
      </w:r>
      <w:r>
        <w:rPr>
          <w:rFonts w:hint="eastAsia" w:ascii="Times New Roman" w:hAnsi="Times New Roman" w:eastAsia="楷体" w:cs="宋体"/>
          <w:kern w:val="0"/>
          <w:sz w:val="24"/>
          <w:szCs w:val="24"/>
          <w:lang w:val="en-US" w:eastAsia="zh-CN" w:bidi="ar"/>
        </w:rPr>
        <w:t>为高于，</w:t>
      </w:r>
      <w:r>
        <w:rPr>
          <w:rFonts w:ascii="Times New Roman" w:hAnsi="Times New Roman" w:eastAsia="楷体" w:cs="宋体"/>
          <w:kern w:val="0"/>
          <w:sz w:val="24"/>
          <w:szCs w:val="24"/>
          <w:lang w:val="en-US" w:eastAsia="zh-CN" w:bidi="ar"/>
        </w:rPr>
        <w:t>↓</w:t>
      </w:r>
      <w:r>
        <w:rPr>
          <w:rFonts w:hint="eastAsia" w:ascii="Times New Roman" w:hAnsi="Times New Roman" w:eastAsia="楷体" w:cs="宋体"/>
          <w:kern w:val="0"/>
          <w:sz w:val="24"/>
          <w:szCs w:val="24"/>
          <w:lang w:val="en-US" w:eastAsia="zh-CN" w:bidi="ar"/>
        </w:rPr>
        <w:t>为低于。</w:t>
      </w:r>
    </w:p>
    <w:p w14:paraId="6FA73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心血管事件风险敏感状态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5B11A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触发以下任一条件及进入：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1760"/>
        <w:gridCol w:w="2375"/>
      </w:tblGrid>
      <w:tr w14:paraId="08444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6CB44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4710D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0B25C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判定模式</w:t>
            </w:r>
          </w:p>
        </w:tc>
      </w:tr>
      <w:tr w14:paraId="17AC9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DE01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3ADC8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血小板数目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5CE4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 超出参考范围</w:t>
            </w:r>
          </w:p>
        </w:tc>
      </w:tr>
      <w:tr w14:paraId="1EB84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3E8B1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6819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平均血小板体积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973F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超出参考范围</w:t>
            </w:r>
          </w:p>
        </w:tc>
      </w:tr>
      <w:tr w14:paraId="03E0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5E75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2861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血小板分布宽度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EA80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超出参考范围</w:t>
            </w:r>
          </w:p>
        </w:tc>
      </w:tr>
      <w:tr w14:paraId="1255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AD47E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AA599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血小板压积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EC81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 超出参考范围</w:t>
            </w:r>
          </w:p>
        </w:tc>
      </w:tr>
      <w:tr w14:paraId="1FA1A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4ACEB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87FC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大血小板比率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9C50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超出参考范围</w:t>
            </w:r>
          </w:p>
        </w:tc>
      </w:tr>
      <w:tr w14:paraId="504FC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73C4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94EF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大血小板数目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F76C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超出参考范围</w:t>
            </w:r>
          </w:p>
        </w:tc>
      </w:tr>
    </w:tbl>
    <w:p w14:paraId="21E3D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5E5C9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心血管负荷偏高状态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6DBEB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未触发进入“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心血管事件风险敏感状态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”规则，并且触发以下任一条件进入：</w:t>
      </w:r>
    </w:p>
    <w:tbl>
      <w:tblPr>
        <w:tblStyle w:val="5"/>
        <w:tblW w:w="7628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2"/>
        <w:gridCol w:w="4350"/>
        <w:gridCol w:w="2666"/>
      </w:tblGrid>
      <w:tr w14:paraId="2F2AC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892105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56AAC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E26B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判定模式</w:t>
            </w:r>
          </w:p>
        </w:tc>
      </w:tr>
      <w:tr w14:paraId="4A16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03B2F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10A9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脉搏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85DD8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 超出参考范围</w:t>
            </w:r>
          </w:p>
        </w:tc>
      </w:tr>
      <w:tr w14:paraId="5D7CF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3E21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BDF0B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脉率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8069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静息状态 ↑ 或 ↓</w:t>
            </w:r>
          </w:p>
        </w:tc>
      </w:tr>
      <w:tr w14:paraId="06CA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4617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2964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收缩压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1048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超出或达到临界上限</w:t>
            </w:r>
          </w:p>
        </w:tc>
      </w:tr>
      <w:tr w14:paraId="1C1D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36CB3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1835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舒张压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3B39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超出或达到临界上限</w:t>
            </w:r>
          </w:p>
        </w:tc>
      </w:tr>
      <w:tr w14:paraId="7C81D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7297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2008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  <w:highlight w:val="yellow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总胆固醇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66B9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超出参考范围</w:t>
            </w:r>
          </w:p>
        </w:tc>
      </w:tr>
      <w:tr w14:paraId="7B30E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FE866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18E8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  <w:highlight w:val="yellow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甘油三酯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9596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超出参考范围</w:t>
            </w:r>
          </w:p>
        </w:tc>
      </w:tr>
      <w:tr w14:paraId="490F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3303E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35BBF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eastAsia="楷体"/>
                <w:b w:val="0"/>
                <w:bCs w:val="0"/>
                <w:sz w:val="24"/>
                <w:highlight w:val="yellow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高密度脂蛋白胆固醇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02C6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↓ 低于参考下限</w:t>
            </w:r>
          </w:p>
        </w:tc>
      </w:tr>
      <w:tr w14:paraId="733B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FE8B0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09194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Times New Roman" w:hAnsi="Times New Roman" w:eastAsia="楷体"/>
                <w:b w:val="0"/>
                <w:bCs w:val="0"/>
                <w:sz w:val="24"/>
                <w:highlight w:val="yellow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highlight w:val="yellow"/>
                <w:lang w:val="en-US" w:eastAsia="zh-CN"/>
              </w:rPr>
              <w:t>低密度脂蛋白胆固醇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7F46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超出参考范围</w:t>
            </w:r>
          </w:p>
        </w:tc>
      </w:tr>
      <w:tr w14:paraId="4B27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FFE1E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588382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血红蛋白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2208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</w:t>
            </w:r>
          </w:p>
        </w:tc>
      </w:tr>
      <w:tr w14:paraId="56313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DCEB7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4320" w:type="dxa"/>
            <w:shd w:val="clear" w:color="auto" w:fill="auto"/>
            <w:vAlign w:val="center"/>
          </w:tcPr>
          <w:p w14:paraId="648D7B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color w:val="auto"/>
                <w:kern w:val="0"/>
                <w:sz w:val="24"/>
                <w:szCs w:val="24"/>
                <w:highlight w:val="yellow"/>
                <w:lang w:val="en-US" w:eastAsia="zh-CN" w:bidi="ar"/>
              </w:rPr>
              <w:t>红细胞比容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F32D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</w:t>
            </w:r>
          </w:p>
        </w:tc>
      </w:tr>
      <w:tr w14:paraId="606F9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C9AF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2A4BF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红细胞数目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5548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</w:t>
            </w:r>
          </w:p>
        </w:tc>
      </w:tr>
      <w:tr w14:paraId="545B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8A7ED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7E2C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血红蛋白浓度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6BEB96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</w:t>
            </w:r>
          </w:p>
        </w:tc>
      </w:tr>
      <w:tr w14:paraId="2ED1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5B272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E99A1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红细胞压积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E5C10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</w:t>
            </w:r>
          </w:p>
        </w:tc>
      </w:tr>
      <w:tr w14:paraId="3E7B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20FE4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C3C6E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平均红细胞体积（MCV）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9C8B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</w:t>
            </w:r>
          </w:p>
        </w:tc>
      </w:tr>
      <w:tr w14:paraId="3FC0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723AC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A25C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平均红细胞血红蛋白含量（MCH）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EB670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</w:t>
            </w:r>
          </w:p>
        </w:tc>
      </w:tr>
      <w:tr w14:paraId="4789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815B4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B665B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平均红细胞血红蛋白浓度（MCHC）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184C3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或 ↓</w:t>
            </w:r>
          </w:p>
        </w:tc>
      </w:tr>
      <w:tr w14:paraId="65AD8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F5EDEC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7DBBBB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红细胞分布宽度变异系数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9CB35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高于参考上限</w:t>
            </w:r>
          </w:p>
        </w:tc>
      </w:tr>
      <w:tr w14:paraId="69C34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38E6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0F0B9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红细胞分布宽度标准差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DE2D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楷体"/>
                <w:b w:val="0"/>
                <w:bCs w:val="0"/>
                <w:sz w:val="24"/>
              </w:rPr>
            </w:pPr>
            <w:r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↑ 高于参考上限</w:t>
            </w:r>
          </w:p>
        </w:tc>
      </w:tr>
      <w:tr w14:paraId="607E9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BEB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25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1BBE97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灌注指数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F53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</w:pPr>
            <w:r>
              <w:rPr>
                <w:rFonts w:hint="eastAsia" w:ascii="Times New Roman" w:hAnsi="Times New Roman" w:eastAsia="楷体" w:cs="宋体"/>
                <w:b w:val="0"/>
                <w:bCs w:val="0"/>
                <w:kern w:val="0"/>
                <w:sz w:val="24"/>
                <w:szCs w:val="24"/>
                <w:highlight w:val="yellow"/>
                <w:lang w:val="en-US" w:eastAsia="zh-CN" w:bidi="ar"/>
              </w:rPr>
              <w:t>低于正常范围</w:t>
            </w:r>
          </w:p>
        </w:tc>
      </w:tr>
    </w:tbl>
    <w:p w14:paraId="54467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71F1B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心血管稳定状态 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6D579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未触发“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心血管事件风险敏感状态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”和“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心血管负荷偏高状态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”，触发“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心血管稳定状态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</w:t>
      </w:r>
    </w:p>
    <w:p w14:paraId="22F58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30ABD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54677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60C89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心血管稳定状态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17C4D5E9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注：</w:t>
      </w:r>
      <w:r>
        <w:rPr>
          <w:rFonts w:ascii="楷体" w:hAnsi="楷体" w:eastAsia="楷体" w:cs="楷体"/>
          <w:sz w:val="24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心血管稳定状态</w:t>
      </w:r>
      <w:r>
        <w:rPr>
          <w:rFonts w:ascii="楷体" w:hAnsi="楷体" w:eastAsia="楷体" w:cs="楷体"/>
          <w:sz w:val="24"/>
        </w:rPr>
        <w:t>，说明</w:t>
      </w:r>
      <w:r>
        <w:rPr>
          <w:rFonts w:hint="eastAsia" w:ascii="楷体" w:hAnsi="楷体" w:eastAsia="楷体" w:cs="楷体"/>
          <w:sz w:val="24"/>
        </w:rPr>
        <w:t>未发现明确心血管风险信号</w:t>
      </w:r>
      <w:r>
        <w:rPr>
          <w:rFonts w:hint="eastAsia" w:ascii="楷体" w:hAnsi="楷体" w:eastAsia="楷体" w:cs="楷体"/>
          <w:sz w:val="24"/>
          <w:highlight w:val="none"/>
        </w:rPr>
        <w:t>；</w:t>
      </w:r>
      <w:r>
        <w:rPr>
          <w:rFonts w:hint="eastAsia" w:ascii="楷体" w:hAnsi="楷体" w:eastAsia="楷体" w:cs="楷体"/>
          <w:sz w:val="24"/>
        </w:rPr>
        <w:t>若有医生特别叮嘱，请以个体化医嘱优先。</w:t>
      </w:r>
    </w:p>
    <w:p w14:paraId="44D5AE74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34051186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（1）Omega-3（鱼油胶囊、亚麻籽油软胶囊）：有助于维持血脂平衡，支持血管内皮健康。</w:t>
      </w:r>
    </w:p>
    <w:p w14:paraId="39F49578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（2）辅酶 Q10（CoQ10）：支持心肌能量代谢与抗氧化防御。</w:t>
      </w:r>
    </w:p>
    <w:p w14:paraId="046FCF85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镁（柠檬酸镁/甘氨酸镁）</w:t>
      </w:r>
      <w:r>
        <w:rPr>
          <w:rFonts w:hint="eastAsia" w:ascii="楷体" w:hAnsi="楷体" w:eastAsia="楷体" w:cs="楷体"/>
          <w:sz w:val="24"/>
          <w:lang w:eastAsia="zh-CN"/>
        </w:rPr>
        <w:t>：支持血管舒张与心肌电稳定性</w:t>
      </w:r>
      <w:r>
        <w:rPr>
          <w:rFonts w:hint="eastAsia" w:ascii="楷体" w:hAnsi="楷体" w:eastAsia="楷体" w:cs="楷体"/>
          <w:sz w:val="24"/>
        </w:rPr>
        <w:t>。</w:t>
      </w:r>
    </w:p>
    <w:p w14:paraId="3302388C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（1）每天至少30分钟中等强度活动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如快走、骑车、游泳、爬楼梯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1F2DFA7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避免久坐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连续坐1小时以上，起身活动3–5分钟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E768AEA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保证睡眠时间与规律性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每晚7–8小时，尽量固定上床和起床时间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094DAEC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减少不必要的精神紧张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每天安排 5–10 分钟安静时间（深呼吸、冥想或放松拉伸）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45990DC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（1）每天至少 500 克蔬菜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其中一半为深色蔬菜（绿叶菜、西兰花、胡萝卜等）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7A2D425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主食不过量，优先全谷类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用糙米、燕麦、全麦面包替代部分白米白面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88300DC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每周 2 次以上鱼类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优先选择海鱼（如鲭鱼、三文鱼、沙丁鱼）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3CF65346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烹饪油以橄榄油、菜籽油为主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少用动物油、黄油、起酥油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5611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618ED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心血管相关指标：每6–12个月复测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。</w:t>
      </w:r>
    </w:p>
    <w:p w14:paraId="3EDDD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血压：每周1–2次趋势观察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。</w:t>
      </w:r>
    </w:p>
    <w:p w14:paraId="01B5F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心血管负荷偏高状态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7CFC09AA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心血管负荷偏高状态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部分与心血管功能相关的指标出现偏离，提示心脏和血管所承受的负荷有所增加；若有医生特别叮嘱，请以个体化医嘱优先。</w:t>
      </w:r>
    </w:p>
    <w:p w14:paraId="24D592E6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0CA26D07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（1）Omega-3（鱼油胶囊、亚麻籽油软胶囊）：有助于降低甘油三酯、改善血管内环境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45BA5AE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（2）可溶性膳食纤维（如车前子壳）：有助于胆固醇代谢与血糖稳定。</w:t>
      </w:r>
    </w:p>
    <w:p w14:paraId="473A5456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镁（柠檬酸镁/甘氨酸镁）</w:t>
      </w:r>
      <w:r>
        <w:rPr>
          <w:rFonts w:hint="eastAsia" w:ascii="楷体" w:hAnsi="楷体" w:eastAsia="楷体" w:cs="楷体"/>
          <w:sz w:val="24"/>
          <w:lang w:eastAsia="zh-CN"/>
        </w:rPr>
        <w:t>：支持血管舒张与心肌电稳定性</w:t>
      </w:r>
      <w:r>
        <w:rPr>
          <w:rFonts w:hint="eastAsia" w:ascii="楷体" w:hAnsi="楷体" w:eastAsia="楷体" w:cs="楷体"/>
          <w:sz w:val="24"/>
        </w:rPr>
        <w:t>。</w:t>
      </w:r>
    </w:p>
    <w:p w14:paraId="6368A640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（1）坚持“多数天活动”原则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每周至少 5 天运动，每次 30–40 分钟</w:t>
      </w:r>
    </w:p>
    <w:p w14:paraId="4BFBBDC4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lang w:val="en-US" w:eastAsia="zh-CN"/>
        </w:rPr>
        <w:t>有氧+力量训练组合锻炼。</w:t>
      </w:r>
      <w:r>
        <w:rPr>
          <w:rFonts w:hint="eastAsia" w:ascii="楷体" w:hAnsi="楷体" w:eastAsia="楷体" w:cs="楷体"/>
          <w:sz w:val="24"/>
        </w:rPr>
        <w:t>有氧：快走、骑车、游泳</w:t>
      </w:r>
      <w:r>
        <w:rPr>
          <w:rFonts w:hint="eastAsia" w:ascii="楷体" w:hAnsi="楷体" w:eastAsia="楷体" w:cs="楷体"/>
          <w:sz w:val="24"/>
          <w:lang w:eastAsia="zh-CN"/>
        </w:rPr>
        <w:t>；</w:t>
      </w:r>
      <w:r>
        <w:rPr>
          <w:rFonts w:hint="eastAsia" w:ascii="楷体" w:hAnsi="楷体" w:eastAsia="楷体" w:cs="楷体"/>
          <w:sz w:val="24"/>
        </w:rPr>
        <w:t>力量：每周 2 次，徒手深蹲、靠墙俯卧撑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8F9B37E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lang w:val="en-US" w:eastAsia="zh-CN"/>
        </w:rPr>
        <w:t>进行压力管理：</w:t>
      </w:r>
      <w:r>
        <w:rPr>
          <w:rFonts w:hint="eastAsia" w:ascii="楷体" w:hAnsi="楷体" w:eastAsia="楷体" w:cs="楷体"/>
          <w:sz w:val="24"/>
        </w:rPr>
        <w:t>每天固定一个“放松时段”，不刷手机、不处理工作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99BFC88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彻底避免吸烟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包括主动吸烟和长期被动吸烟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E97C633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（1）控制盐摄入</w:t>
      </w:r>
      <w:r>
        <w:rPr>
          <w:rFonts w:hint="eastAsia" w:ascii="楷体" w:hAnsi="楷体" w:eastAsia="楷体" w:cs="楷体"/>
          <w:sz w:val="24"/>
          <w:lang w:eastAsia="zh-CN"/>
        </w:rPr>
        <w:t>：</w:t>
      </w:r>
      <w:r>
        <w:rPr>
          <w:rFonts w:hint="eastAsia" w:ascii="楷体" w:hAnsi="楷体" w:eastAsia="楷体" w:cs="楷体"/>
          <w:sz w:val="24"/>
        </w:rPr>
        <w:t>少吃咸菜、腌制品、加工食品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292DF3B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减少精制糖和含糖饮料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用白水、无糖茶替代饮料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2B49D135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每餐保证蛋白质来源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鱼、豆制品、鸡蛋、瘦肉轮换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99D2C12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多吃富含钾和镁的食物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如香蕉、豆类、绿叶菜、坚果（适量）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2C8D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53E0A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（1）异常指标：每3–6个月复测。</w:t>
      </w:r>
    </w:p>
    <w:p w14:paraId="5638C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血压：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每周3–5次。</w:t>
      </w:r>
    </w:p>
    <w:p w14:paraId="5A1E3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心血管事件风险敏感状态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0B675F50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心血管事件风险敏感状态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检测到与心血管事件风险相关的关键信号，提示当前阶段需要提高关注程度</w:t>
      </w:r>
      <w:r>
        <w:rPr>
          <w:rFonts w:hint="eastAsia" w:ascii="楷体" w:hAnsi="楷体" w:eastAsia="楷体" w:cs="楷体"/>
          <w:sz w:val="24"/>
          <w:highlight w:val="none"/>
          <w:lang w:eastAsia="zh-CN"/>
        </w:rPr>
        <w:t>，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建议您立刻就医</w:t>
      </w:r>
      <w:r>
        <w:rPr>
          <w:rFonts w:hint="eastAsia" w:ascii="楷体" w:hAnsi="楷体" w:eastAsia="楷体" w:cs="楷体"/>
          <w:sz w:val="24"/>
          <w:highlight w:val="none"/>
        </w:rPr>
        <w:t>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4DB1E88D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254BA4FD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（1）Omega-3（鱼油胶囊、亚麻籽油软胶囊）：有助于维持血脂平衡，支持血管内皮健康。</w:t>
      </w:r>
    </w:p>
    <w:p w14:paraId="719023A5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（2）辅酶 Q10（CoQ10）：支持心肌能量代谢与抗氧化防御。</w:t>
      </w:r>
    </w:p>
    <w:p w14:paraId="7D7652D8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镁（柠檬酸镁/甘氨酸镁）</w:t>
      </w:r>
      <w:r>
        <w:rPr>
          <w:rFonts w:hint="eastAsia" w:ascii="楷体" w:hAnsi="楷体" w:eastAsia="楷体" w:cs="楷体"/>
          <w:sz w:val="24"/>
          <w:lang w:eastAsia="zh-CN"/>
        </w:rPr>
        <w:t>：支持血管舒张与心肌电稳定性</w:t>
      </w:r>
      <w:r>
        <w:rPr>
          <w:rFonts w:hint="eastAsia" w:ascii="楷体" w:hAnsi="楷体" w:eastAsia="楷体" w:cs="楷体"/>
          <w:sz w:val="24"/>
        </w:rPr>
        <w:t>。</w:t>
      </w:r>
    </w:p>
    <w:p w14:paraId="07B5C6AB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（1）避免剧烈或突然增加运动量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不进行高强度间歇、冲刺跑、负重训练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82B22E6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以轻度活动为主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每天多次短时间散步（10–15 分钟/次）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170AA16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保证充足睡眠与稳定作息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避免熬夜和昼夜节律紊乱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6F92464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避免情绪大起大落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减少熬夜工作、过度焦虑、剧烈争吵等情况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7FE8F15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（1）规律进餐，不空腹、不暴饮暴食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B36303F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增加抗炎食物</w:t>
      </w:r>
      <w:r>
        <w:rPr>
          <w:rFonts w:hint="eastAsia" w:ascii="楷体" w:hAnsi="楷体" w:eastAsia="楷体" w:cs="楷体"/>
          <w:sz w:val="24"/>
          <w:lang w:eastAsia="zh-CN"/>
        </w:rPr>
        <w:t>：</w:t>
      </w:r>
      <w:r>
        <w:rPr>
          <w:rFonts w:hint="eastAsia" w:ascii="楷体" w:hAnsi="楷体" w:eastAsia="楷体" w:cs="楷体"/>
          <w:sz w:val="24"/>
        </w:rPr>
        <w:t>深色蔬菜、浆果、番茄、橄榄油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88C7099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避免酒精摄入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D630FC4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保证足够饮水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以尿液颜色偏浅为参考，避免血液浓缩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DCB5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35CF0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（1）异常指标：1–3个月内复测。</w:t>
      </w:r>
    </w:p>
    <w:p w14:paraId="148C0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sz w:val="24"/>
          <w:szCs w:val="24"/>
          <w:lang w:val="en-US" w:eastAsia="zh-CN"/>
        </w:rPr>
        <w:t>血压：每日或隔日监测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。</w:t>
      </w:r>
    </w:p>
    <w:p w14:paraId="07618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3F04E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二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呼吸系统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7个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p w14:paraId="72A43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5D796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呼吸系统稳定状态  </w:t>
      </w:r>
    </w:p>
    <w:p w14:paraId="4E5C9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呼吸系统负荷偏高状态</w:t>
      </w:r>
    </w:p>
    <w:p w14:paraId="15531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呼吸系统风险敏感状态</w:t>
      </w:r>
    </w:p>
    <w:p w14:paraId="048EB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0ACCB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6B0F0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呼吸系统风险敏感状态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595B9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触发以下任一条件及进入：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1535"/>
      </w:tblGrid>
      <w:tr w14:paraId="1F99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06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B2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判定方式</w:t>
            </w:r>
          </w:p>
        </w:tc>
      </w:tr>
      <w:tr w14:paraId="3CC5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FE4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血氧饱和度（SpO₂）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28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低于正常范围</w:t>
            </w:r>
          </w:p>
        </w:tc>
      </w:tr>
    </w:tbl>
    <w:p w14:paraId="7878E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06279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呼吸系统负荷偏高状态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2A684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未触发进入“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呼吸系统风险敏感状态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”规则，并且触发以下任一条件进入：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9"/>
        <w:gridCol w:w="1535"/>
      </w:tblGrid>
      <w:tr w14:paraId="70EC1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7B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82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判定方式</w:t>
            </w:r>
          </w:p>
        </w:tc>
      </w:tr>
      <w:tr w14:paraId="43796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6E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呼气流量峰值（PEF）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A13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低于参考范围</w:t>
            </w:r>
          </w:p>
        </w:tc>
      </w:tr>
      <w:tr w14:paraId="5F935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25F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PEF%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88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低于参考范围</w:t>
            </w:r>
          </w:p>
        </w:tc>
      </w:tr>
      <w:tr w14:paraId="3915B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6E2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第一秒用力呼气量（FEV1）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2B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低于参考范围</w:t>
            </w:r>
          </w:p>
        </w:tc>
      </w:tr>
      <w:tr w14:paraId="0879B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C1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FEV1%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0A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低于参考范围</w:t>
            </w:r>
          </w:p>
        </w:tc>
      </w:tr>
      <w:tr w14:paraId="2C5D5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A66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FEV1 / FVC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D35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低于参考范围</w:t>
            </w:r>
          </w:p>
        </w:tc>
      </w:tr>
    </w:tbl>
    <w:p w14:paraId="3254A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0F390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呼吸系统稳定状态 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42DFE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未触发“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呼吸系统风险敏感状态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”和“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呼吸系统负荷偏高状态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”，触发“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心血管稳定状态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</w:t>
      </w:r>
    </w:p>
    <w:p w14:paraId="5C927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349D1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3BEA5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14973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呼吸系统稳定状态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4EB7D251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呼吸系统稳定状态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未发现明确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呼吸系统</w:t>
      </w:r>
      <w:r>
        <w:rPr>
          <w:rFonts w:hint="eastAsia" w:ascii="楷体" w:hAnsi="楷体" w:eastAsia="楷体" w:cs="楷体"/>
          <w:sz w:val="24"/>
          <w:highlight w:val="none"/>
        </w:rPr>
        <w:t>风险信号；若有医生特别叮嘱，请以个体化医嘱优先。</w:t>
      </w:r>
    </w:p>
    <w:p w14:paraId="4D96BBE7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4DA1E4EC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（1）Omega-3（鱼油胶囊、亚麻籽油软胶囊）：有助于维持气道低炎症状态，支持肺部健康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31ECA92F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维生素 D：支持免疫平衡，与呼吸道健康相关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0598B17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镁（柠檬酸镁/甘氨酸镁）</w:t>
      </w:r>
      <w:r>
        <w:rPr>
          <w:rFonts w:hint="eastAsia" w:ascii="楷体" w:hAnsi="楷体" w:eastAsia="楷体" w:cs="楷体"/>
          <w:sz w:val="24"/>
          <w:lang w:eastAsia="zh-CN"/>
        </w:rPr>
        <w:t>：支持呼吸肌与平滑肌正常放松</w:t>
      </w:r>
      <w:r>
        <w:rPr>
          <w:rFonts w:hint="eastAsia" w:ascii="楷体" w:hAnsi="楷体" w:eastAsia="楷体" w:cs="楷体"/>
          <w:sz w:val="24"/>
        </w:rPr>
        <w:t>。</w:t>
      </w:r>
    </w:p>
    <w:p w14:paraId="4BEF2894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（1）保持日常活动量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每天至少 30 分钟快走、骑车或其他轻度有氧活动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2B2D0AE8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避免长期处于空气质量较差环境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雾霾、烟尘环境下减少户外运动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2A24AC3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维持规律作息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保证充足睡眠，有助于呼吸系统自我修复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E31BD34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减少刺激性暴露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避免吸烟及长期接触二手烟、强刺激气味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417078C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（1）每天摄入充足蔬菜水果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尤其是富含抗氧化物的深色蔬果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CD1A71A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保证优质蛋白来源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鱼、蛋、豆制品、瘦肉轮换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2E21ED56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保持足够饮水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有助于维持气道湿润与分泌物清除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8713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5C21C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（1）呼吸系统指标：每 6–12 个月复测。</w:t>
      </w:r>
    </w:p>
    <w:p w14:paraId="33B18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（2）日常自感呼吸状态变化（气短、胸闷）可记录趋势</w:t>
      </w:r>
    </w:p>
    <w:p w14:paraId="7D3FD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呼吸系统负荷偏高状态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1B407DA6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心血管负荷偏高状态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部分呼吸功能指标出现偏移，提示呼吸效率有所下降；若有医生特别叮嘱，请以个体化医嘱优先。</w:t>
      </w:r>
    </w:p>
    <w:p w14:paraId="62FEC272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01CE9F9B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（1）Omega-3（鱼油胶囊、亚麻籽油软胶囊）：有助于减轻气道炎症反应，支持呼吸顺畅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D6074A3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维生素D：与呼吸道免疫调节相关，支持气道稳定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5E8A148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）维生素C：支持呼吸道抗氧化防御，缓解刺激反应。</w:t>
      </w:r>
    </w:p>
    <w:p w14:paraId="39026D6A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（1）进行规律的有氧运动，但避免过度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如快走、骑车，每周≥5天，每次20–40分钟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E627A34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加入呼吸训练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每天5–10分钟腹式呼吸或缓慢深呼吸练习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8E2D57A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减少冷空气和刺激物暴露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冷天外出注意保暖，避免吸入冷干空气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0F42DDD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避免熬夜与过度疲劳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长期疲劳会加重呼吸系统负担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1F7C666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（1）减少容易引发炎症的饮食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少油炸食品、加工肉类、含糖饮料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3C1AE4F4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增加抗炎食物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深色蔬菜、浆果、橄榄油、坚果（适量）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DEBC451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保持清淡、规律进餐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避免暴饮暴食导致膈肌活动受限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39E3B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3EB27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（1）异常指标：每3–6个月复测。</w:t>
      </w:r>
    </w:p>
    <w:p w14:paraId="4E2CF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（2）若出现反复气短、呼吸不适，应提高复测频率。</w:t>
      </w:r>
    </w:p>
    <w:p w14:paraId="02386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呼吸系统风险敏感状态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56544BC7">
      <w:pPr>
        <w:spacing w:line="360" w:lineRule="auto"/>
        <w:rPr>
          <w:rFonts w:ascii="楷体" w:hAnsi="楷体" w:eastAsia="楷体" w:cs="楷体"/>
          <w:sz w:val="24"/>
          <w:highlight w:val="yellow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心血管事件风险敏感状态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检测到与氧气供应相关的关键信号变化，提示需要提高关注程度</w:t>
      </w:r>
      <w:r>
        <w:rPr>
          <w:rFonts w:hint="eastAsia" w:ascii="楷体" w:hAnsi="楷体" w:eastAsia="楷体" w:cs="楷体"/>
          <w:sz w:val="24"/>
          <w:highlight w:val="none"/>
          <w:lang w:eastAsia="zh-CN"/>
        </w:rPr>
        <w:t>，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建议您立刻就医</w:t>
      </w:r>
      <w:r>
        <w:rPr>
          <w:rFonts w:hint="eastAsia" w:ascii="楷体" w:hAnsi="楷体" w:eastAsia="楷体" w:cs="楷体"/>
          <w:sz w:val="24"/>
          <w:highlight w:val="none"/>
        </w:rPr>
        <w:t>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6A643D65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1823E43A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（1）Omega-3（鱼油胶囊、亚麻籽油软胶囊）：支持抗炎环境，作为整体健康支持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45A6FEB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维生素D：支持免疫与呼吸道防御功能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3628870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镁（柠檬酸镁/甘氨酸镁）</w:t>
      </w:r>
      <w:r>
        <w:rPr>
          <w:rFonts w:hint="eastAsia" w:ascii="楷体" w:hAnsi="楷体" w:eastAsia="楷体" w:cs="楷体"/>
          <w:sz w:val="24"/>
          <w:lang w:eastAsia="zh-CN"/>
        </w:rPr>
        <w:t>：支持呼吸肌功能与整体稳定性</w:t>
      </w:r>
      <w:r>
        <w:rPr>
          <w:rFonts w:hint="eastAsia" w:ascii="楷体" w:hAnsi="楷体" w:eastAsia="楷体" w:cs="楷体"/>
          <w:sz w:val="24"/>
        </w:rPr>
        <w:t>。</w:t>
      </w:r>
    </w:p>
    <w:p w14:paraId="75755B2C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（1）避免剧烈运动或突然增加活动量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以轻度活动为主，如短时间散步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1B4D3F4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保持稳定作息与充分休息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避免熬夜和体力透支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BC0B493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避免空气刺激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远离烟雾、粉尘、强气味环境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9C53C42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（1）规律进餐，避免空腹或过饱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6DEB53F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保证足够水分摄入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防止分泌物黏稠，影响呼吸舒适度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2F933150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饮食以清淡易消化为主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减少油腻食物对呼吸负担的间接影响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BF3D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2ACAE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（1）血氧及相关指标：1–3个月内复测。</w:t>
      </w:r>
    </w:p>
    <w:p w14:paraId="27A69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（2）结合家庭血氧监测进行趋势观察。</w:t>
      </w:r>
    </w:p>
    <w:p w14:paraId="49366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</w:rPr>
      </w:pPr>
    </w:p>
    <w:p w14:paraId="7C26D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三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神经系统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</w:p>
    <w:p w14:paraId="6A954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269B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 xml:space="preserve">神经调节稳定状态  </w:t>
      </w:r>
    </w:p>
    <w:p w14:paraId="42938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神经调节异常状态</w:t>
      </w:r>
    </w:p>
    <w:p w14:paraId="45F26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5EE84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4F459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神经调节异常状态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6811D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触发以下任一条件及进入：</w:t>
      </w:r>
    </w:p>
    <w:p w14:paraId="05BDC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体温高于正常生理范围</w:t>
      </w:r>
    </w:p>
    <w:p w14:paraId="2C1F3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或体温低于正常生理范围</w:t>
      </w:r>
    </w:p>
    <w:p w14:paraId="7F5D3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或体温异常持续存在（如多次测量仍偏离）</w:t>
      </w:r>
    </w:p>
    <w:p w14:paraId="3957F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404A2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神经调节稳定状态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10B8E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未触发进入“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神经调节异常状态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28E03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5D863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652DC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3C69A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神经调节稳定状态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0125E7F5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神经调节稳定状态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体温处于正常调节范围，提示神经系统的体温调控整体稳定；若有医生特别叮嘱，请以个体化医嘱优先。</w:t>
      </w:r>
    </w:p>
    <w:p w14:paraId="09392BC0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25DB0A64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（1）Omega-3（鱼油胶囊、亚麻籽油软胶囊）：支持神经细胞膜功能与抗炎环境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B9C46B8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镁（柠檬酸镁/甘氨酸镁）</w:t>
      </w:r>
      <w:r>
        <w:rPr>
          <w:rFonts w:hint="eastAsia" w:ascii="楷体" w:hAnsi="楷体" w:eastAsia="楷体" w:cs="楷体"/>
          <w:sz w:val="24"/>
          <w:lang w:eastAsia="zh-CN"/>
        </w:rPr>
        <w:t>：支持中枢神经系统稳定性与自主神经平衡。</w:t>
      </w:r>
    </w:p>
    <w:p w14:paraId="7CE2F698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）维生素B族：参与神经能量代谢与神经递质合成。</w:t>
      </w:r>
    </w:p>
    <w:p w14:paraId="3F75A8CD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</w:p>
    <w:p w14:paraId="55A87D19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（1）保持规律作息时间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尽量固定入睡与起床时间，减少昼夜节律波动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6A5C680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避免长期精神紧张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每天预留放松时间，降低持续应激对神经调节的影响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3170FB0A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维持适度日常活动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通过散步、拉伸等方式促进神经系统稳定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4752801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注意环境温度变化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避免频繁冷热刺激，减少体温调节负担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B74BE46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（1）三餐规律，避免过度节食或暴饮暴食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8A14F22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饮食以清淡、均衡为主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包含充足蔬菜、全谷类与优质蛋白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DF38F44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保证充足水分摄入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有助于体温调节与代谢稳定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5D05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097A5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（1）每周1–2次：建议在相对固定时间段测量（如清晨起床后或晚间休息前）</w:t>
      </w:r>
    </w:p>
    <w:p w14:paraId="60FBD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或仅在身体感觉异常时测量，用于对照。</w:t>
      </w:r>
    </w:p>
    <w:p w14:paraId="1CD3F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神经调节异常状态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3919F238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神经调节异常状态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体温已偏离正常调节范围，提示神经系统的体温调控出现异常，需要提高关注并持续观察</w:t>
      </w:r>
      <w:r>
        <w:rPr>
          <w:rFonts w:hint="eastAsia" w:ascii="楷体" w:hAnsi="楷体" w:eastAsia="楷体" w:cs="楷体"/>
          <w:sz w:val="24"/>
          <w:highlight w:val="none"/>
          <w:lang w:eastAsia="zh-CN"/>
        </w:rPr>
        <w:t>；若体温异常持续存在，或伴随明显不适感受，建议尽快进行专业医疗评估</w:t>
      </w:r>
      <w:r>
        <w:rPr>
          <w:rFonts w:hint="eastAsia" w:ascii="楷体" w:hAnsi="楷体" w:eastAsia="楷体" w:cs="楷体"/>
          <w:sz w:val="24"/>
          <w:highlight w:val="none"/>
        </w:rPr>
        <w:t>；若有医生特别叮嘱，请以个体化医嘱优先。</w:t>
      </w:r>
    </w:p>
    <w:p w14:paraId="27CA3746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5EA4FEC8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（1）Omega-3（鱼油胶囊、亚麻籽油软胶囊）：支持神经系统放松与体温调节稳定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FBA0F3E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镁（柠檬酸镁/甘氨酸镁）</w:t>
      </w:r>
      <w:r>
        <w:rPr>
          <w:rFonts w:hint="eastAsia" w:ascii="楷体" w:hAnsi="楷体" w:eastAsia="楷体" w:cs="楷体"/>
          <w:sz w:val="24"/>
          <w:lang w:eastAsia="zh-CN"/>
        </w:rPr>
        <w:t>：支持神经系统在应激状态下的能量代谢。</w:t>
      </w:r>
    </w:p>
    <w:p w14:paraId="7621C66C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）维生素B族：支持抗炎环境，缓解神经调节压力。</w:t>
      </w:r>
    </w:p>
    <w:p w14:paraId="1E96D181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（1）减少熬夜与过度用脑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确保充足睡眠，避免神经系统长期处于兴奋状态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29AB273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 xml:space="preserve"> 避免剧烈环境刺激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包括冷热交替、长时间暴露于高温或低温环境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D9CDA72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降低日常活动强度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以轻度活动为主，避免过度消耗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6FBDD19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保持情绪相对稳定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尽量避免情绪大幅波动对体温调节造成影响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5E0AAD9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（1）饮食以温和、易消化为主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避免过多刺激性食物（辛辣、过冷或过热）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4EB33AA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分散进食，避免一次性进食过多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0DAC175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持续补充水分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有助于维持体液平衡与体温稳定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9A97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043F0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（1）每日1次，优先选择同一时间段（如早晨起床后）；若体温波动明显：每日 2次（早/晚各一次）。</w:t>
      </w:r>
    </w:p>
    <w:p w14:paraId="3B75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22DB9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内分泌系统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5个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p w14:paraId="21AF4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30FD0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代谢稳定</w:t>
      </w:r>
    </w:p>
    <w:p w14:paraId="72FCF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代谢偏移</w:t>
      </w:r>
    </w:p>
    <w:p w14:paraId="14137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代谢失衡趋势</w:t>
      </w:r>
    </w:p>
    <w:p w14:paraId="73D99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72FEC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7125A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（1）指标异常情况</w:t>
      </w:r>
    </w:p>
    <w:p w14:paraId="74876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指标正常范围以外的都标为异常情况。</w:t>
      </w:r>
    </w:p>
    <w:p w14:paraId="446EC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（2）指标异常数量确定</w:t>
      </w:r>
    </w:p>
    <w:p w14:paraId="53509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血糖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和/或</w:t>
      </w:r>
      <w:r>
        <w:rPr>
          <w:rFonts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葡萄糖（GLU）</w:t>
      </w:r>
      <w:r>
        <w:rPr>
          <w:rFonts w:hint="eastAsia"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异常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→一项异常</w:t>
      </w:r>
    </w:p>
    <w:p w14:paraId="78D69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血酮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和/或</w:t>
      </w:r>
      <w:r>
        <w:rPr>
          <w:rFonts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酮体（KET）</w:t>
      </w:r>
      <w:r>
        <w:rPr>
          <w:rFonts w:hint="eastAsia"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异常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→一项异常</w:t>
      </w:r>
    </w:p>
    <w:p w14:paraId="2DC10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糖化血红蛋白</w:t>
      </w:r>
      <w:r>
        <w:rPr>
          <w:rFonts w:hint="eastAsia"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异常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→一项异常</w:t>
      </w:r>
    </w:p>
    <w:p w14:paraId="7CC79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（3）判断状态规则</w:t>
      </w:r>
    </w:p>
    <w:p w14:paraId="6975E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代谢稳定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61FF7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1项异常指标→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代谢偏移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03321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≥2项异常指标→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代谢失衡趋势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48C37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19DEB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代谢稳定状态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2B30A854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呼吸系统稳定状态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当前血糖与能量代谢调控处于平衡状态；若有医生特别叮嘱，请以个体化医嘱优先。</w:t>
      </w:r>
    </w:p>
    <w:p w14:paraId="51FDE9AC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1B774B74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镁（柠檬酸镁/甘氨酸镁）</w:t>
      </w:r>
      <w:r>
        <w:rPr>
          <w:rFonts w:hint="eastAsia" w:ascii="楷体" w:hAnsi="楷体" w:eastAsia="楷体" w:cs="楷体"/>
          <w:sz w:val="24"/>
          <w:lang w:eastAsia="zh-CN"/>
        </w:rPr>
        <w:t>：参与胰岛素信号传导，有助于维持正常的葡萄糖代谢稳定性。</w:t>
      </w:r>
    </w:p>
    <w:p w14:paraId="7877DD82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）Omega-3 脂肪酸：有助于降低低度炎症水平，支持整体代谢稳态。</w:t>
      </w:r>
    </w:p>
    <w:p w14:paraId="3BA9F27A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）维生素 D：参与胰岛素分泌与葡萄糖稳态调节，支持内分泌系统功能。</w:t>
      </w:r>
    </w:p>
    <w:p w14:paraId="3CEFD507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（1）每天固定起床和入睡时间，尽量保持前后波动不超过 1 小时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8B737E6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白天久坐每满 60 分钟，起身活动 3–5 分钟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95B4382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每周至少 5 天进行 30 分钟中等强度活动（如快走、骑行）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509AD8A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（1）保持一日三餐规律进食，不刻意跳餐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7FA0273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主食优先选择全谷物（糙米、全麦、燕麦），减少精制米面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E2E7861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每一餐都搭配足量蛋白质（鱼、蛋、豆制品、瘦肉）和蔬菜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19CD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135BF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（1）血糖/</w:t>
      </w:r>
      <w:r>
        <w:rPr>
          <w:rFonts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葡萄糖（GLU）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：每3–6个月一次。</w:t>
      </w:r>
    </w:p>
    <w:p w14:paraId="483F8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（2）糖化血红蛋白：每年1次。</w:t>
      </w:r>
    </w:p>
    <w:p w14:paraId="1A4BA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代谢偏移状态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3EA6AA32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代谢偏移状态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血糖或能量代谢出现可识别的偏移信号，提示身体的调控负担开始增加；若有医生特别叮嘱，请以个体化医嘱优先。</w:t>
      </w:r>
    </w:p>
    <w:p w14:paraId="4E919497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361E371C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（1）镁（柠檬酸镁/甘氨酸镁）：改善胰岛素敏感性，有助于缓解血糖波动。</w:t>
      </w:r>
    </w:p>
    <w:p w14:paraId="486DE471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铬（吡啶甲酸铬）：参与葡萄糖代谢，有助于提高胰岛素作用效率。</w:t>
      </w:r>
    </w:p>
    <w:p w14:paraId="085D829A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可溶性膳食纤维（如洋车前子）：延缓餐后血糖上升，降低胰岛素负荷。</w:t>
      </w:r>
    </w:p>
    <w:p w14:paraId="22EAD23F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（1）固定三餐时间，避免进食时间大幅前后漂移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8822534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每餐后进行10–15分钟轻度活动（散步、家务）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784F2B9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保证每晚7–8小时睡眠，避免连续熬夜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FE9E2CA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（1）减少含糖饮料、甜点及精制零食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AFB877C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每餐先吃蔬菜和蛋白，再吃主食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C4879E0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控制高升糖指数食物（白面包、甜点）的摄入频率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3AA2F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12A9A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（1）血糖/</w:t>
      </w:r>
      <w:r>
        <w:rPr>
          <w:rFonts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葡萄糖（GLU）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：每2–4周。</w:t>
      </w:r>
    </w:p>
    <w:p w14:paraId="25EEA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（2）糖化血红蛋白：每3–6个月。</w:t>
      </w:r>
    </w:p>
    <w:p w14:paraId="69BD8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（3）酮体：如出现进食减少、疲劳感明显时复测。</w:t>
      </w:r>
    </w:p>
    <w:p w14:paraId="6BE1B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代谢失衡趋势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4D803668">
      <w:pPr>
        <w:spacing w:line="360" w:lineRule="auto"/>
        <w:rPr>
          <w:rFonts w:ascii="楷体" w:hAnsi="楷体" w:eastAsia="楷体" w:cs="楷体"/>
          <w:sz w:val="24"/>
          <w:highlight w:val="yellow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代谢失衡趋势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多项代谢调控指标同时异常，提示身体的代谢稳态正受到持续性干扰</w:t>
      </w:r>
      <w:r>
        <w:rPr>
          <w:rFonts w:hint="eastAsia" w:ascii="楷体" w:hAnsi="楷体" w:eastAsia="楷体" w:cs="楷体"/>
          <w:sz w:val="24"/>
          <w:highlight w:val="none"/>
          <w:lang w:eastAsia="zh-CN"/>
        </w:rPr>
        <w:t>，建议咨询医疗专业人员，进行进一步评估</w:t>
      </w:r>
      <w:r>
        <w:rPr>
          <w:rFonts w:hint="eastAsia" w:ascii="楷体" w:hAnsi="楷体" w:eastAsia="楷体" w:cs="楷体"/>
          <w:sz w:val="24"/>
          <w:highlight w:val="none"/>
        </w:rPr>
        <w:t>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5A816DD4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658AF6F5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（1）镁（柠檬酸镁/甘氨酸镁）</w:t>
      </w:r>
      <w:r>
        <w:rPr>
          <w:rFonts w:hint="eastAsia" w:ascii="楷体" w:hAnsi="楷体" w:eastAsia="楷体" w:cs="楷体"/>
          <w:sz w:val="24"/>
          <w:lang w:eastAsia="zh-CN"/>
        </w:rPr>
        <w:t>：作为基础矿物质，支持胰岛素功能和能量代谢过程。</w:t>
      </w:r>
    </w:p>
    <w:p w14:paraId="0779D96F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）铬（吡啶甲酸铬）：帮助改善葡萄糖利用效率，减轻胰岛素调控压力。</w:t>
      </w:r>
    </w:p>
    <w:p w14:paraId="18D2BD66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）Omega-3 脂肪酸：有助于缓解慢性低度炎症，支持长期代谢调节。</w:t>
      </w:r>
    </w:p>
    <w:p w14:paraId="2B5BFED2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2、</w:t>
      </w:r>
      <w:r>
        <w:rPr>
          <w:rFonts w:ascii="楷体" w:hAnsi="楷体" w:eastAsia="楷体" w:cs="楷体"/>
          <w:sz w:val="24"/>
        </w:rPr>
        <w:t>生活方式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（1）严格固定作息时间，优先保证睡眠质量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7E6FB8D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每天安排固定时间进行中低强度运动（如快走 30 分钟）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272AA9FD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避免长时间空腹或极端节食行为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63FA698">
      <w:pPr>
        <w:spacing w:line="360" w:lineRule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3、</w:t>
      </w:r>
      <w:r>
        <w:rPr>
          <w:rFonts w:ascii="楷体" w:hAnsi="楷体" w:eastAsia="楷体" w:cs="楷体"/>
          <w:sz w:val="24"/>
        </w:rPr>
        <w:t>饮食</w:t>
      </w:r>
      <w:r>
        <w:rPr>
          <w:rFonts w:hint="eastAsia" w:ascii="楷体" w:hAnsi="楷体" w:eastAsia="楷体" w:cs="楷体"/>
          <w:sz w:val="24"/>
        </w:rPr>
        <w:t>建议</w:t>
      </w:r>
      <w:r>
        <w:rPr>
          <w:rFonts w:ascii="楷体" w:hAnsi="楷体" w:eastAsia="楷体" w:cs="楷体"/>
          <w:sz w:val="24"/>
        </w:rPr>
        <w:br w:type="textWrapping"/>
      </w:r>
      <w:r>
        <w:rPr>
          <w:rFonts w:hint="eastAsia" w:ascii="楷体" w:hAnsi="楷体" w:eastAsia="楷体" w:cs="楷体"/>
          <w:sz w:val="24"/>
        </w:rPr>
        <w:t>（1）控制总能量摄入，避免暴饮暴食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1E3BD9F">
      <w:pPr>
        <w:spacing w:line="360" w:lineRule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碳水化合物来源以全谷、豆类和蔬菜为主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388C986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每日保证稳定蛋白质摄入，避免肌肉流失</w:t>
      </w:r>
    </w:p>
    <w:p w14:paraId="2917D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711EA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（1）血糖/</w:t>
      </w:r>
      <w:r>
        <w:rPr>
          <w:rFonts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葡萄糖（GLU）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：每1–2周。</w:t>
      </w:r>
    </w:p>
    <w:p w14:paraId="35FE2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（2）糖化血红蛋白：每3个月。</w:t>
      </w:r>
    </w:p>
    <w:p w14:paraId="2F62B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（3）酮体：出现不适或饮食结构明显变化时复测。</w:t>
      </w:r>
    </w:p>
    <w:p w14:paraId="4310D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040AE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五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免疫系统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7个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p w14:paraId="24AB0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15B2E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免疫系统稳定状态</w:t>
      </w:r>
    </w:p>
    <w:p w14:paraId="0CCD1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免疫应激偏高状态</w:t>
      </w:r>
    </w:p>
    <w:p w14:paraId="2293A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免疫失衡风险状态</w:t>
      </w:r>
    </w:p>
    <w:p w14:paraId="305E8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1A266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6A14C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免疫失衡风险状态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7355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触发以下任一条件即进入：</w:t>
      </w:r>
    </w:p>
    <w:p w14:paraId="28980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A. 白细胞数目（WBC）处于异常状态（超出正常参考范围）；</w:t>
      </w:r>
    </w:p>
    <w:p w14:paraId="59989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B. 以下指标≥2项处于异常状态</w:t>
      </w:r>
    </w:p>
    <w:tbl>
      <w:tblPr>
        <w:tblStyle w:val="5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515"/>
      </w:tblGrid>
      <w:tr w14:paraId="10DB0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2BE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2B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条件</w:t>
            </w:r>
          </w:p>
        </w:tc>
      </w:tr>
      <w:tr w14:paraId="72975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7BD1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淋巴细胞百分比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32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2F7A2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CD6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淋巴细胞数目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91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369D9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7159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粒细胞百分比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42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02EA3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F421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粒细胞数目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98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5D2B5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A003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中间群细胞百分比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16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72F6E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520B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中间群细胞数目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69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</w:tbl>
    <w:p w14:paraId="380A5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37668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1A670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免疫应激偏高状态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20DBA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未触发进入“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免疫失衡风险状态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”规则，并且触发以下任一指标异常进入：</w:t>
      </w:r>
    </w:p>
    <w:tbl>
      <w:tblPr>
        <w:tblStyle w:val="5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515"/>
      </w:tblGrid>
      <w:tr w14:paraId="3EF76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B79A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068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条件</w:t>
            </w:r>
          </w:p>
        </w:tc>
      </w:tr>
      <w:tr w14:paraId="33B49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53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淋巴细胞百分比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317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7EE70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0940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淋巴细胞数目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A3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24740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7AB4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粒细胞百分比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06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749A0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97F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粒细胞数目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5E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069DA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6EBD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中间群细胞百分比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B9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  <w:tr w14:paraId="3FEBB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28FC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中间群细胞数目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2F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bCs w:val="0"/>
                <w:sz w:val="24"/>
                <w:szCs w:val="24"/>
                <w:lang w:val="en-US" w:eastAsia="zh-CN"/>
              </w:rPr>
              <w:t>超出参考范围</w:t>
            </w:r>
          </w:p>
        </w:tc>
      </w:tr>
    </w:tbl>
    <w:p w14:paraId="25D52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5AE4D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138CA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（3）判断进入“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免疫系统稳定状态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”规则</w:t>
      </w:r>
    </w:p>
    <w:p w14:paraId="0FF6B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未触发“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免疫失衡风险状态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”和“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免疫应激偏高状态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”，即各项指标均处于正常范围触发“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心血管稳定状态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”</w:t>
      </w:r>
    </w:p>
    <w:p w14:paraId="40DE3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7E27E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7E510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2D4D2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免疫系统稳定状态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6AEFDE22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免疫系统稳定状态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免疫相关指标处于正常范围，提示免疫系统整体运行平衡；若有医生特别叮嘱，请以个体化医嘱优先。</w:t>
      </w:r>
    </w:p>
    <w:p w14:paraId="458FAABC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33216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（1）</w:t>
      </w:r>
      <w:r>
        <w:rPr>
          <w:rFonts w:hint="eastAsia" w:ascii="楷体" w:hAnsi="楷体" w:eastAsia="楷体" w:cs="楷体"/>
          <w:sz w:val="24"/>
          <w:lang w:eastAsia="zh-CN"/>
        </w:rPr>
        <w:t xml:space="preserve">维生素D：支持免疫调节与防御功能的稳定性。 </w:t>
      </w:r>
    </w:p>
    <w:p w14:paraId="6C6B6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）Omega-3</w:t>
      </w:r>
      <w:r>
        <w:rPr>
          <w:rFonts w:hint="eastAsia" w:ascii="楷体" w:hAnsi="楷体" w:eastAsia="楷体" w:cs="楷体"/>
          <w:sz w:val="24"/>
        </w:rPr>
        <w:t>（鱼油胶囊、亚麻籽油软胶囊）</w:t>
      </w:r>
      <w:r>
        <w:rPr>
          <w:rFonts w:hint="eastAsia" w:ascii="楷体" w:hAnsi="楷体" w:eastAsia="楷体" w:cs="楷体"/>
          <w:sz w:val="24"/>
          <w:lang w:eastAsia="zh-CN"/>
        </w:rPr>
        <w:t xml:space="preserve">：支持抗炎平衡与免疫稳态。 </w:t>
      </w:r>
    </w:p>
    <w:p w14:paraId="58D10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 xml:space="preserve">）锌（葡萄糖酸锌/硫酸锌/柠檬酸锌）：参与免疫细胞功能与屏障防御维持。 </w:t>
      </w:r>
    </w:p>
    <w:p w14:paraId="66C02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lang w:eastAsia="zh-CN"/>
        </w:rPr>
        <w:t>生活方式</w:t>
      </w:r>
    </w:p>
    <w:p w14:paraId="78574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 xml:space="preserve">）睡眠规律：尽量固定入睡/起床时间，避免长期熬夜（免疫节律更稳定）。 </w:t>
      </w:r>
    </w:p>
    <w:p w14:paraId="36178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 xml:space="preserve">）每周≥150分钟中等强度运动：快走/骑行/游泳等，维持免疫稳态。 </w:t>
      </w:r>
    </w:p>
    <w:p w14:paraId="5A55C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 xml:space="preserve">）压力管理：每天 5–10 分钟放松训练（呼吸/冥想/拉伸），降低持续应激。 </w:t>
      </w:r>
    </w:p>
    <w:p w14:paraId="74520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lang w:eastAsia="zh-CN"/>
        </w:rPr>
        <w:t>饮食建议</w:t>
      </w:r>
    </w:p>
    <w:p w14:paraId="64E57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 xml:space="preserve">）以“抗炎型”结构为主：蔬果 + 全谷 + 豆类 + 坚果 + 鱼类为主，减少超加工食品与含糖饮料。 </w:t>
      </w:r>
    </w:p>
    <w:p w14:paraId="0158B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 xml:space="preserve">）保证蛋白质：每餐有优质蛋白（鱼/蛋/豆制品/瘦肉），支持免疫细胞更新。 </w:t>
      </w:r>
    </w:p>
    <w:p w14:paraId="5D9A9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lang w:eastAsia="zh-CN"/>
        </w:rPr>
        <w:t>定期检测建议</w:t>
      </w:r>
    </w:p>
    <w:p w14:paraId="55779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）频率：每 6–12个月1次（或体检同步）</w:t>
      </w:r>
    </w:p>
    <w:p w14:paraId="60F1F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免疫应激偏高状态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49D254ED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免疫应激偏高状态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部分免疫指标出现偏离，提示免疫系统正处于应激或被动员状态；若有医生特别叮嘱，请以个体化医嘱优先。</w:t>
      </w:r>
    </w:p>
    <w:p w14:paraId="17C9984B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17D89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（1）Omega-3（鱼油胶囊、亚麻籽油软胶囊）：支持抗炎平衡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2545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 xml:space="preserve">维生素D：支持免疫调节与应激期的免疫稳态。 </w:t>
      </w:r>
    </w:p>
    <w:p w14:paraId="3D57E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 xml:space="preserve">维生素C：支持抗氧化防御与免疫屏障功能。 </w:t>
      </w:r>
    </w:p>
    <w:p w14:paraId="5BA53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、</w:t>
      </w:r>
      <w:r>
        <w:rPr>
          <w:rFonts w:hint="eastAsia" w:ascii="楷体" w:hAnsi="楷体" w:eastAsia="楷体" w:cs="楷体"/>
          <w:sz w:val="24"/>
        </w:rPr>
        <w:t>生活方式</w:t>
      </w:r>
    </w:p>
    <w:p w14:paraId="74642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 xml:space="preserve">先把睡眠补齐：连续7天保证足量睡眠，优先于“加大运动”。 </w:t>
      </w:r>
    </w:p>
    <w:p w14:paraId="6BAA9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 xml:space="preserve">运动降强度、保规律：把高强度改为中等强度（快走/轻跑），避免过度训练造成额外应激。 </w:t>
      </w:r>
    </w:p>
    <w:p w14:paraId="6EDEE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 xml:space="preserve">减少刺激暴露：烟雾、粉尘、熬夜、酒精与连续加班优先减少（都可能推高应激）。 </w:t>
      </w:r>
    </w:p>
    <w:p w14:paraId="4D6A9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、</w:t>
      </w:r>
      <w:r>
        <w:rPr>
          <w:rFonts w:hint="eastAsia" w:ascii="楷体" w:hAnsi="楷体" w:eastAsia="楷体" w:cs="楷体"/>
          <w:sz w:val="24"/>
        </w:rPr>
        <w:t>饮食建议</w:t>
      </w:r>
    </w:p>
    <w:p w14:paraId="1DB4C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 xml:space="preserve">增加“天然食物密度”：每天至少 500g 蔬菜，搭配 1–2 份水果。 </w:t>
      </w:r>
    </w:p>
    <w:p w14:paraId="29F20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 xml:space="preserve">把“超加工”降下来：零食/油炸/甜饮尽量减少（更利于炎症负荷管理）。 </w:t>
      </w:r>
    </w:p>
    <w:p w14:paraId="12FD7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 xml:space="preserve">水分充足、规律进食：避免空腹暴食，减少代谢应激。 </w:t>
      </w:r>
    </w:p>
    <w:p w14:paraId="747F4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4) 定期检测建议</w:t>
      </w:r>
    </w:p>
    <w:p w14:paraId="7288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频率：每 3–6 个月1次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9E92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若近期有明显疲劳/睡眠紊乱/压力暴增，可在调整 4–8 周后复测趋势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33143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免疫失衡风险状态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173FA32A">
      <w:pPr>
        <w:spacing w:line="360" w:lineRule="auto"/>
        <w:rPr>
          <w:rFonts w:ascii="楷体" w:hAnsi="楷体" w:eastAsia="楷体" w:cs="楷体"/>
          <w:sz w:val="24"/>
          <w:highlight w:val="yellow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免疫失衡风险状态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多项免疫指标出现异常或白细胞总量异常，提示免疫系统调节可能存在明显失衡，建议尽快进行专业医疗评估；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124D0928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07563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</w:rPr>
        <w:t>（1）Omega-3（鱼油胶囊、亚麻籽油软胶囊）：</w:t>
      </w:r>
      <w:r>
        <w:rPr>
          <w:rFonts w:hint="eastAsia" w:ascii="楷体" w:hAnsi="楷体" w:eastAsia="楷体" w:cs="楷体"/>
          <w:sz w:val="24"/>
          <w:lang w:eastAsia="zh-CN"/>
        </w:rPr>
        <w:t xml:space="preserve">支持抗炎平衡与系统性炎症管理。 </w:t>
      </w:r>
    </w:p>
    <w:p w14:paraId="12CDA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 xml:space="preserve">）维生素D：支持免疫调节功能与整体防御能力。 </w:t>
      </w:r>
    </w:p>
    <w:p w14:paraId="16028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 xml:space="preserve">）锌（葡萄糖酸锌/硫酸锌/柠檬酸锌）：参与免疫细胞功能与屏障防御；建议避免长期高剂量自行补充。 </w:t>
      </w:r>
    </w:p>
    <w:p w14:paraId="7EAE0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2、生活方式</w:t>
      </w:r>
    </w:p>
    <w:p w14:paraId="20A08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 xml:space="preserve">）优先休息与减负：暂停高强度训练与连续熬夜，先让应激水平下降。 </w:t>
      </w:r>
    </w:p>
    <w:p w14:paraId="45A7C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 xml:space="preserve">）避免烟酒与刺激暴露：减少对免疫系统的额外负担。 </w:t>
      </w:r>
    </w:p>
    <w:p w14:paraId="648A8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3、饮食建议</w:t>
      </w:r>
    </w:p>
    <w:p w14:paraId="0C222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 xml:space="preserve">）清淡、足量蛋白、足量蔬菜：以家庭可持续饮食为主，避免极端节食/断食。 </w:t>
      </w:r>
    </w:p>
    <w:p w14:paraId="62463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 xml:space="preserve">）减少高糖高脂超加工：优先降低炎症负荷。 </w:t>
      </w:r>
    </w:p>
    <w:p w14:paraId="73291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lang w:eastAsia="zh-CN"/>
        </w:rPr>
        <w:t>定期检测建议</w:t>
      </w:r>
    </w:p>
    <w:p w14:paraId="05D0A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）频率：1–3 个月复测 1 次（或按医生建议）</w:t>
      </w:r>
    </w:p>
    <w:p w14:paraId="299D3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</w:p>
    <w:p w14:paraId="07FF2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六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骨骼与肌肉系统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5个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p w14:paraId="5DB38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533F5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结构与肌肉稳定</w:t>
      </w:r>
    </w:p>
    <w:p w14:paraId="34EE3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结构或肌肉偏移</w:t>
      </w:r>
    </w:p>
    <w:p w14:paraId="33198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结构–功能下降趋势</w:t>
      </w:r>
    </w:p>
    <w:p w14:paraId="384CC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63BAE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11E09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（1）指标异常情况</w:t>
      </w:r>
    </w:p>
    <w:p w14:paraId="44AE8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骨量、肌肉率、骨骼肌率和去脂体重低于正常范围，标记为异常；</w:t>
      </w:r>
    </w:p>
    <w:p w14:paraId="787A3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肌肉量控制显示持续下降或者失控，标记为异常。</w:t>
      </w:r>
    </w:p>
    <w:p w14:paraId="18DBE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（2）指标异常数量确定</w:t>
      </w:r>
    </w:p>
    <w:p w14:paraId="7DBD8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骨量异常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→一项异常</w:t>
      </w:r>
    </w:p>
    <w:p w14:paraId="06CDA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肌肉率和/或骨骼肌率</w:t>
      </w:r>
      <w:r>
        <w:rPr>
          <w:rFonts w:hint="eastAsia"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异常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→一项异常</w:t>
      </w:r>
    </w:p>
    <w:p w14:paraId="5A744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去脂体重和/或肌肉量控制</w:t>
      </w:r>
      <w:r>
        <w:rPr>
          <w:rFonts w:hint="eastAsia" w:ascii="Times New Roman" w:hAnsi="Times New Roman" w:eastAsia="楷体" w:cs="宋体"/>
          <w:b w:val="0"/>
          <w:bCs w:val="0"/>
          <w:kern w:val="0"/>
          <w:sz w:val="24"/>
          <w:szCs w:val="24"/>
          <w:lang w:val="en-US" w:eastAsia="zh-CN" w:bidi="ar"/>
        </w:rPr>
        <w:t>异常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→一项异常</w:t>
      </w:r>
    </w:p>
    <w:p w14:paraId="164A6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（3）判断状态规则</w:t>
      </w:r>
    </w:p>
    <w:p w14:paraId="1E3E8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结构与肌肉稳定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76D20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1项异常指标→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结构或肌肉偏移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378B7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≥2项异常指标→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结构–功能下降趋势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15318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4C7CB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结构与肌肉稳定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01178C5F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结构与肌肉稳定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骨骼结构与肌肉储备处于良好状态，能够支持日常活动与身体稳定性；若有医生特别叮嘱，请以个体化医嘱优先。</w:t>
      </w:r>
    </w:p>
    <w:p w14:paraId="255215E1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352D7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）钙（</w:t>
      </w:r>
      <w:r>
        <w:rPr>
          <w:rFonts w:hint="eastAsia" w:ascii="楷体" w:hAnsi="楷体" w:eastAsia="楷体" w:cs="楷体"/>
          <w:sz w:val="24"/>
          <w:lang w:val="en-US" w:eastAsia="zh-CN"/>
        </w:rPr>
        <w:t>柠檬酸钙</w:t>
      </w:r>
      <w:r>
        <w:rPr>
          <w:rFonts w:hint="eastAsia" w:ascii="楷体" w:hAnsi="楷体" w:eastAsia="楷体" w:cs="楷体"/>
          <w:sz w:val="24"/>
          <w:lang w:eastAsia="zh-CN"/>
        </w:rPr>
        <w:t>）+维生素D：支持骨骼矿化和骨量维持，有助于保持结构稳定。</w:t>
      </w:r>
    </w:p>
    <w:p w14:paraId="7E379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）镁（柠檬酸镁或甘氨酸镁）：参与肌肉收缩与骨代谢，帮助维持骨–肌系统的基础功能。</w:t>
      </w:r>
    </w:p>
    <w:p w14:paraId="6227E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）优质蛋白（如乳清蛋白或大豆蛋白）：为肌肉更新提供必要的结构原料。</w:t>
      </w:r>
    </w:p>
    <w:p w14:paraId="3A437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lang w:eastAsia="zh-CN"/>
        </w:rPr>
        <w:t>生活方式</w:t>
      </w:r>
    </w:p>
    <w:p w14:paraId="629B9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）每周至少5天进行30分钟中等强度活动（快走、爬楼、骑行）。</w:t>
      </w:r>
    </w:p>
    <w:p w14:paraId="21FD0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）日常生活中多使用身体承重动作（走路、站立、提物）。</w:t>
      </w:r>
    </w:p>
    <w:p w14:paraId="21CE6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）避免久坐，连续坐姿不超过60分钟。</w:t>
      </w:r>
    </w:p>
    <w:p w14:paraId="1838B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lang w:eastAsia="zh-CN"/>
        </w:rPr>
        <w:t>饮食建议</w:t>
      </w:r>
    </w:p>
    <w:p w14:paraId="15B9F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）每日三餐规律进食，不刻意节食。</w:t>
      </w:r>
    </w:p>
    <w:p w14:paraId="42200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）每一餐包含蛋白质来源（鱼、蛋、豆制品、瘦肉）。</w:t>
      </w:r>
    </w:p>
    <w:p w14:paraId="33A28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）保证充足蔬菜摄入，为骨骼和肌肉提供微量营养素。</w:t>
      </w:r>
    </w:p>
    <w:p w14:paraId="182EF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lang w:eastAsia="zh-CN"/>
        </w:rPr>
        <w:t>定期检测建议</w:t>
      </w:r>
    </w:p>
    <w:p w14:paraId="6FC4F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）每6–12个月一次，如生活方式长期稳定，可延长检测间隔。</w:t>
      </w:r>
    </w:p>
    <w:p w14:paraId="6783E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结构或肌肉偏移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152D08C3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结构或肌肉偏移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骨量或肌肉指标出现早期偏移信号，提示身体支撑与活动能力开始承压；若有医生特别叮嘱，请以个体化医嘱优先。</w:t>
      </w:r>
    </w:p>
    <w:p w14:paraId="3FED896C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10D62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</w:t>
      </w:r>
      <w:r>
        <w:rPr>
          <w:rFonts w:hint="eastAsia" w:ascii="楷体" w:hAnsi="楷体" w:eastAsia="楷体" w:cs="楷体"/>
          <w:sz w:val="24"/>
          <w:lang w:eastAsia="zh-CN"/>
        </w:rPr>
        <w:t>钙（</w:t>
      </w:r>
      <w:r>
        <w:rPr>
          <w:rFonts w:hint="eastAsia" w:ascii="楷体" w:hAnsi="楷体" w:eastAsia="楷体" w:cs="楷体"/>
          <w:sz w:val="24"/>
          <w:lang w:val="en-US" w:eastAsia="zh-CN"/>
        </w:rPr>
        <w:t>柠檬酸钙</w:t>
      </w:r>
      <w:r>
        <w:rPr>
          <w:rFonts w:hint="eastAsia" w:ascii="楷体" w:hAnsi="楷体" w:eastAsia="楷体" w:cs="楷体"/>
          <w:sz w:val="24"/>
          <w:lang w:eastAsia="zh-CN"/>
        </w:rPr>
        <w:t>）+维生素D：</w:t>
      </w:r>
      <w:r>
        <w:rPr>
          <w:rFonts w:hint="eastAsia" w:ascii="楷体" w:hAnsi="楷体" w:eastAsia="楷体" w:cs="楷体"/>
          <w:sz w:val="24"/>
        </w:rPr>
        <w:t>：帮助减缓骨量下降趋势，支持骨骼结构稳定。</w:t>
      </w:r>
    </w:p>
    <w:p w14:paraId="296FD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）优质蛋白（如乳清蛋白或大豆蛋白）</w:t>
      </w:r>
      <w:r>
        <w:rPr>
          <w:rFonts w:hint="eastAsia" w:ascii="楷体" w:hAnsi="楷体" w:eastAsia="楷体" w:cs="楷体"/>
          <w:sz w:val="24"/>
        </w:rPr>
        <w:t>：支持肌肉合成，防止肌肉和去脂体重继续下降。</w:t>
      </w:r>
    </w:p>
    <w:p w14:paraId="1C47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）镁（柠檬酸镁或甘氨酸镁）</w:t>
      </w:r>
      <w:r>
        <w:rPr>
          <w:rFonts w:hint="eastAsia" w:ascii="楷体" w:hAnsi="楷体" w:eastAsia="楷体" w:cs="楷体"/>
          <w:sz w:val="24"/>
        </w:rPr>
        <w:t>：改善肌肉功能状态，支持骨–肌协同工作。</w:t>
      </w:r>
    </w:p>
    <w:p w14:paraId="142C3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</w:rPr>
        <w:t>生活方式</w:t>
      </w:r>
    </w:p>
    <w:p w14:paraId="6E3AF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每周增加 2–3 次轻度抗阻活动（自重深蹲、弹力带、靠墙俯卧撑）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50A3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日常优先选择走路、爬楼等承重活动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D6A7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保证充足睡眠，避免长期熬夜（睡眠不足会加速肌肉流失）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A905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</w:rPr>
        <w:t>饮食建议</w:t>
      </w:r>
    </w:p>
    <w:p w14:paraId="6C1C2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避免长期低能量或低蛋白饮食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7887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每日蛋白质分配到三餐，而不是集中一餐</w:t>
      </w:r>
    </w:p>
    <w:p w14:paraId="10A37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增加富含钙和蛋白的食物（奶制品、豆制品、小鱼虾）</w:t>
      </w:r>
    </w:p>
    <w:p w14:paraId="31BD7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</w:rPr>
        <w:t>定期检测建议</w:t>
      </w:r>
    </w:p>
    <w:p w14:paraId="19B4F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体成分检测：每 3–6 个月一次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关注趋势变化，而非单次数值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2CE6B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结构–功能下降趋势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641168A5">
      <w:pPr>
        <w:spacing w:line="360" w:lineRule="auto"/>
        <w:rPr>
          <w:rFonts w:ascii="楷体" w:hAnsi="楷体" w:eastAsia="楷体" w:cs="楷体"/>
          <w:sz w:val="24"/>
          <w:highlight w:val="yellow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结构–功能下降趋势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highlight w:val="none"/>
          <w:lang w:val="en-US" w:eastAsia="zh-CN"/>
        </w:rPr>
        <w:t>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多项骨骼与肌肉相关指标同时异常，提示结构与功能正在叠加下降，建议咨询医疗专业人员进行进一步评估；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1F6EFA48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4C884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</w:t>
      </w:r>
      <w:r>
        <w:rPr>
          <w:rFonts w:hint="eastAsia" w:ascii="楷体" w:hAnsi="楷体" w:eastAsia="楷体" w:cs="楷体"/>
          <w:sz w:val="24"/>
          <w:lang w:eastAsia="zh-CN"/>
        </w:rPr>
        <w:t>钙（</w:t>
      </w:r>
      <w:r>
        <w:rPr>
          <w:rFonts w:hint="eastAsia" w:ascii="楷体" w:hAnsi="楷体" w:eastAsia="楷体" w:cs="楷体"/>
          <w:sz w:val="24"/>
          <w:lang w:val="en-US" w:eastAsia="zh-CN"/>
        </w:rPr>
        <w:t>柠檬酸钙</w:t>
      </w:r>
      <w:r>
        <w:rPr>
          <w:rFonts w:hint="eastAsia" w:ascii="楷体" w:hAnsi="楷体" w:eastAsia="楷体" w:cs="楷体"/>
          <w:sz w:val="24"/>
          <w:lang w:eastAsia="zh-CN"/>
        </w:rPr>
        <w:t>）+维生素D</w:t>
      </w:r>
      <w:r>
        <w:rPr>
          <w:rFonts w:hint="eastAsia" w:ascii="楷体" w:hAnsi="楷体" w:eastAsia="楷体" w:cs="楷体"/>
          <w:sz w:val="24"/>
        </w:rPr>
        <w:t>：作为骨骼健康的基础支持，帮助减缓结构性流失。</w:t>
      </w:r>
    </w:p>
    <w:p w14:paraId="05989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）优质蛋白（如乳清蛋白或大豆蛋白）</w:t>
      </w:r>
      <w:r>
        <w:rPr>
          <w:rFonts w:hint="eastAsia" w:ascii="楷体" w:hAnsi="楷体" w:eastAsia="楷体" w:cs="楷体"/>
          <w:sz w:val="24"/>
        </w:rPr>
        <w:t>：为肌肉与去脂体重提供持续合成原料，支持功能恢复。</w:t>
      </w:r>
    </w:p>
    <w:p w14:paraId="1EB51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）镁（柠檬酸镁或甘氨酸镁）</w:t>
      </w:r>
      <w:r>
        <w:rPr>
          <w:rFonts w:hint="eastAsia" w:ascii="楷体" w:hAnsi="楷体" w:eastAsia="楷体" w:cs="楷体"/>
          <w:sz w:val="24"/>
        </w:rPr>
        <w:t>：支持肌肉功能和骨代谢，帮助改善整体活动能力。</w:t>
      </w:r>
    </w:p>
    <w:p w14:paraId="585D8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</w:rPr>
        <w:t>生活方式</w:t>
      </w:r>
    </w:p>
    <w:p w14:paraId="17F8D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固定每日活动时间，哪怕强度较低也要保持规律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3592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以安全为前提进行抗阻与平衡训练（如坐站训练、扶物深蹲）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4B15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避免完全不活动或长期卧床式生活方式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55D7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</w:rPr>
        <w:t>饮食建议</w:t>
      </w:r>
    </w:p>
    <w:p w14:paraId="7BF9D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保证足够总能量摄入，避免“吃得少但消耗大”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2DE28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每日蛋白质摄入均匀分布，避免漏餐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C4DF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饮食结构以天然食物为主，减少高度加工食品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003D2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</w:rPr>
        <w:t>定期检测建议</w:t>
      </w:r>
    </w:p>
    <w:p w14:paraId="19C5F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体成分检测：每 3 个月一次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2B644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</w:p>
    <w:p w14:paraId="7976B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七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消化系统</w:t>
      </w:r>
    </w:p>
    <w:p w14:paraId="3F2C5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1F44F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八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皮肤系统</w:t>
      </w:r>
    </w:p>
    <w:p w14:paraId="05D10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7FB0C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九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眼科系统</w:t>
      </w:r>
    </w:p>
    <w:p w14:paraId="7222C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042F6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十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听力系统</w:t>
      </w:r>
    </w:p>
    <w:p w14:paraId="041B4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5D6CA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十一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口腔系统</w:t>
      </w:r>
    </w:p>
    <w:p w14:paraId="4CEB8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3D7EB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十二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足部健康</w:t>
      </w:r>
    </w:p>
    <w:p w14:paraId="11B13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17F47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十三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淋巴系统</w:t>
      </w:r>
    </w:p>
    <w:p w14:paraId="61D76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22D0D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十四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肝脏系统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4个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p w14:paraId="2BDA3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78CF4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肝脏功能稳定状态</w:t>
      </w:r>
    </w:p>
    <w:p w14:paraId="0766F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肝脏代谢负荷偏高状态</w:t>
      </w:r>
    </w:p>
    <w:p w14:paraId="5C6BE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肝脏功能风险状态</w:t>
      </w:r>
    </w:p>
    <w:p w14:paraId="3A5BC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6FFE5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19B46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（1）指标异常情况</w:t>
      </w:r>
    </w:p>
    <w:p w14:paraId="43425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指标正常范围以外的都标为异常情况。</w:t>
      </w:r>
    </w:p>
    <w:p w14:paraId="5511F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（2）判断状态规则</w:t>
      </w:r>
    </w:p>
    <w:p w14:paraId="0FF3B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肝脏功能稳定状态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4A22D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谷丙转氨酶（ALT），谷草转氨酶（AST），尿胆原（URO）这三个指标中有1项异常指标→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肝脏代谢负荷偏高状态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4DC59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谷丙转氨酶（ALT），谷草转氨酶（AST），尿胆原（URO）这三个指标中有≥2项异常指标；或者白蛋白（ALB）指标异常→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肝脏功能风险状态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741BD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6DCE4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肝脏功能稳定状态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189E5803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肝脏功能稳定状态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提示肝脏代谢与合成功能整体稳定，能够支持日常活动与身体稳定性；若有医生特别叮嘱，请以个体化医嘱优先。</w:t>
      </w:r>
    </w:p>
    <w:p w14:paraId="5A23C655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2A503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）Omega-3 脂肪酸（鱼油胶囊、亚麻籽油）：有助于维持肝脏代谢与炎症反应的平衡。</w:t>
      </w:r>
    </w:p>
    <w:p w14:paraId="78444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）维生素E：作为抗氧化营养素，支持肝细胞免受氧化应激。</w:t>
      </w:r>
    </w:p>
    <w:p w14:paraId="2EF42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）胆碱：参与脂质代谢，有助于维持肝脏正常脂肪运输功能。</w:t>
      </w:r>
    </w:p>
    <w:p w14:paraId="0D976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lang w:eastAsia="zh-CN"/>
        </w:rPr>
        <w:t>生活方式</w:t>
      </w:r>
    </w:p>
    <w:p w14:paraId="1C38B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）保持规律作息，避免长期熬夜，减少肝脏夜间代谢负担。</w:t>
      </w:r>
    </w:p>
    <w:p w14:paraId="680DF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）限制酒精摄入，若饮酒，控制频率与总量，避免连续饮酒。</w:t>
      </w:r>
    </w:p>
    <w:p w14:paraId="4916C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）维持稳定体重与活动量，每周≥150分钟中等强度运动（快走、骑行）。</w:t>
      </w:r>
    </w:p>
    <w:p w14:paraId="00D2D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lang w:eastAsia="zh-CN"/>
        </w:rPr>
        <w:t>饮食建议</w:t>
      </w:r>
    </w:p>
    <w:p w14:paraId="34E91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）饮食结构均衡：蔬菜、全谷物、豆类、优质蛋白合理搭配。</w:t>
      </w:r>
    </w:p>
    <w:p w14:paraId="7D87F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）减少高糖与高脂超加工食品，有助于降低肝脏代谢压力。</w:t>
      </w:r>
    </w:p>
    <w:p w14:paraId="52283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）保证足够蛋白摄入，支持肝脏合成功能（鱼、蛋、豆制品、瘦肉）。</w:t>
      </w:r>
    </w:p>
    <w:p w14:paraId="49B38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lang w:eastAsia="zh-CN"/>
        </w:rPr>
        <w:t>定期检测建议</w:t>
      </w:r>
    </w:p>
    <w:p w14:paraId="58216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）每6–12个月一次（可与体检同步）。</w:t>
      </w:r>
    </w:p>
    <w:p w14:paraId="33733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肝脏代谢负荷偏高状态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0EB5E9DE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肝脏代谢负荷偏高状态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部分肝脏指标出现偏离，提示肝脏正在承受额外代谢负担；若有医生特别叮嘱，请以个体化医嘱优先。</w:t>
      </w:r>
    </w:p>
    <w:p w14:paraId="7C0EEBA8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02C05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（1）Omega-3 脂肪酸</w:t>
      </w:r>
      <w:r>
        <w:rPr>
          <w:rFonts w:hint="eastAsia" w:ascii="楷体" w:hAnsi="楷体" w:eastAsia="楷体" w:cs="楷体"/>
          <w:sz w:val="24"/>
          <w:lang w:eastAsia="zh-CN"/>
        </w:rPr>
        <w:t>（鱼油胶囊、亚麻籽油）：</w:t>
      </w:r>
      <w:r>
        <w:rPr>
          <w:rFonts w:hint="eastAsia" w:ascii="楷体" w:hAnsi="楷体" w:eastAsia="楷体" w:cs="楷体"/>
          <w:sz w:val="24"/>
        </w:rPr>
        <w:t>有助于改善脂质代谢环境，降低肝脏负荷。</w:t>
      </w:r>
    </w:p>
    <w:p w14:paraId="192CF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水飞蓟素</w:t>
      </w:r>
      <w:r>
        <w:rPr>
          <w:rFonts w:hint="eastAsia" w:ascii="楷体" w:hAnsi="楷体" w:eastAsia="楷体" w:cs="楷体"/>
          <w:sz w:val="24"/>
          <w:lang w:eastAsia="zh-CN"/>
        </w:rPr>
        <w:t>：</w:t>
      </w:r>
      <w:r>
        <w:rPr>
          <w:rFonts w:hint="eastAsia" w:ascii="楷体" w:hAnsi="楷体" w:eastAsia="楷体" w:cs="楷体"/>
          <w:sz w:val="24"/>
        </w:rPr>
        <w:t>用于支持肝细胞保护与修复能力。</w:t>
      </w:r>
    </w:p>
    <w:p w14:paraId="27DA7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维生素B族</w:t>
      </w:r>
      <w:r>
        <w:rPr>
          <w:rFonts w:hint="eastAsia" w:ascii="楷体" w:hAnsi="楷体" w:eastAsia="楷体" w:cs="楷体"/>
          <w:sz w:val="24"/>
          <w:lang w:eastAsia="zh-CN"/>
        </w:rPr>
        <w:t>：</w:t>
      </w:r>
      <w:r>
        <w:rPr>
          <w:rFonts w:hint="eastAsia" w:ascii="楷体" w:hAnsi="楷体" w:eastAsia="楷体" w:cs="楷体"/>
          <w:sz w:val="24"/>
        </w:rPr>
        <w:t>参与肝脏能量代谢与解毒相关反应。</w:t>
      </w:r>
    </w:p>
    <w:p w14:paraId="15AA9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</w:rPr>
        <w:t>生活方式</w:t>
      </w:r>
    </w:p>
    <w:p w14:paraId="0F878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）严格避免饮酒或明显减少饮酒。</w:t>
      </w:r>
    </w:p>
    <w:p w14:paraId="2527C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）减少熬夜与过度疲劳，连续2–4周保证充足睡眠。</w:t>
      </w:r>
    </w:p>
    <w:p w14:paraId="7010A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）避免不必要的药物或保健品叠加，减少肝脏解毒负担。</w:t>
      </w:r>
    </w:p>
    <w:p w14:paraId="46FDD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</w:rPr>
        <w:t>饮食建议</w:t>
      </w:r>
    </w:p>
    <w:p w14:paraId="2BD9E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）清淡饮食为主，减少油炸、重口味、甜饮料。</w:t>
      </w:r>
    </w:p>
    <w:p w14:paraId="0EA49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）增加膳食纤维来源，全谷物、豆类、蔬菜有助于代谢调节。</w:t>
      </w:r>
    </w:p>
    <w:p w14:paraId="5E9A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lang w:val="en-US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）规律进餐，避免暴饮暴食。</w:t>
      </w:r>
    </w:p>
    <w:p w14:paraId="03A88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</w:rPr>
        <w:t>定期检测建议</w:t>
      </w:r>
    </w:p>
    <w:p w14:paraId="49748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检测：每 3–6 个月一次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E460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肝脏功能风险状态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1306781A">
      <w:pPr>
        <w:spacing w:line="360" w:lineRule="auto"/>
        <w:rPr>
          <w:rFonts w:ascii="楷体" w:hAnsi="楷体" w:eastAsia="楷体" w:cs="楷体"/>
          <w:sz w:val="24"/>
          <w:highlight w:val="yellow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肝脏功能风险状态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多项肝脏指标异常或关键功能指标异常，提示肝脏功能可能存在明显风险，建议尽快进行专业医疗评估；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7D3FE65E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35DC2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（1）</w:t>
      </w:r>
      <w:r>
        <w:rPr>
          <w:rFonts w:hint="eastAsia" w:ascii="楷体" w:hAnsi="楷体" w:eastAsia="楷体" w:cs="楷体"/>
          <w:sz w:val="24"/>
          <w:lang w:eastAsia="zh-CN"/>
        </w:rPr>
        <w:t>Omega-3 脂肪酸（EPA+DHA）：有助于支持抗炎环境与整体代谢稳定。</w:t>
      </w:r>
    </w:p>
    <w:p w14:paraId="30CBC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）水飞蓟素：用于支持肝细胞保护与修复过程。</w:t>
      </w:r>
    </w:p>
    <w:p w14:paraId="3AE4B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）优质蛋白补充（如乳清蛋白或食物来源）：支持白蛋白合成与整体营养状态。</w:t>
      </w:r>
    </w:p>
    <w:p w14:paraId="50C11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</w:rPr>
        <w:t>生活方式</w:t>
      </w:r>
    </w:p>
    <w:p w14:paraId="59FC5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）暂停饮酒。</w:t>
      </w:r>
    </w:p>
    <w:p w14:paraId="6FC8E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）避免高强度运动与过度劳累。</w:t>
      </w:r>
    </w:p>
    <w:p w14:paraId="2A324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）保证充足休息与睡眠。</w:t>
      </w:r>
    </w:p>
    <w:p w14:paraId="3E8EB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</w:rPr>
        <w:t>饮食建议</w:t>
      </w:r>
    </w:p>
    <w:p w14:paraId="7E3C0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）饮食清淡、易消化。</w:t>
      </w:r>
    </w:p>
    <w:p w14:paraId="1805B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）保证能量与蛋白摄入，但避免高脂饮食。</w:t>
      </w:r>
    </w:p>
    <w:p w14:paraId="7DFC2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）避免极端节食或断食。</w:t>
      </w:r>
    </w:p>
    <w:p w14:paraId="02D71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</w:rPr>
        <w:t>定期检测建议</w:t>
      </w:r>
    </w:p>
    <w:p w14:paraId="48EBC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）1–3个月复测1次，或遵医嘱。</w:t>
      </w:r>
    </w:p>
    <w:p w14:paraId="60DD7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</w:rPr>
      </w:pPr>
    </w:p>
    <w:p w14:paraId="48634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十五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胆道系统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2个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p w14:paraId="0B7C6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161E1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胆道功能稳定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</w:t>
      </w:r>
    </w:p>
    <w:p w14:paraId="6E9F2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胆道代谢异常状态</w:t>
      </w:r>
    </w:p>
    <w:p w14:paraId="3C75C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胆道异常外显状态</w:t>
      </w:r>
    </w:p>
    <w:p w14:paraId="35D7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5E6AD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0F0CF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（1）指标异常情况</w:t>
      </w:r>
    </w:p>
    <w:p w14:paraId="4B90E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指标正常范围以外的都标为异常情况。</w:t>
      </w:r>
    </w:p>
    <w:p w14:paraId="2B2DF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（2）判断状态规则</w:t>
      </w:r>
    </w:p>
    <w:p w14:paraId="14FC8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胆道功能稳定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状态→方案一</w:t>
      </w:r>
    </w:p>
    <w:p w14:paraId="390E7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胆红素（BIL）异常但未出现黄疸异常这两个指标中有1项异常指标→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胆道代谢异常状态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2C235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只要出现黄疸异常→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胆道异常外显状态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527F2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65D58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胆道功能稳定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6A995D51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胆道功能稳定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胆红素水平处于正常范围，胆汁代谢与排泄过程顺畅；若有医生特别叮嘱，请以个体化医嘱优先。</w:t>
      </w:r>
    </w:p>
    <w:p w14:paraId="070D02C6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18884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）卵磷脂（磷脂酰胆碱）：参与胆汁形成，有助于维持胆汁流动性和排泄功能。</w:t>
      </w:r>
    </w:p>
    <w:p w14:paraId="409C3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）维生素 C：参与胆红素代谢过程，支持肝胆系统的抗氧化与解毒功能。</w:t>
      </w:r>
    </w:p>
    <w:p w14:paraId="67807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）镁（柠檬酸镁或甘氨酸镁）：有助于胆道平滑肌放松，支持胆汁正常排出。</w:t>
      </w:r>
    </w:p>
    <w:p w14:paraId="2B9E8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lang w:eastAsia="zh-CN"/>
        </w:rPr>
        <w:t>生活方式</w:t>
      </w:r>
    </w:p>
    <w:p w14:paraId="7DD4B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）保持规律作息，避免长期熬夜。</w:t>
      </w:r>
    </w:p>
    <w:p w14:paraId="14CCC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）避免久坐，每日保证基础活动量（如步行6000–8000步）。</w:t>
      </w:r>
    </w:p>
    <w:p w14:paraId="35912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）避免频繁空腹或暴饮暴食。</w:t>
      </w:r>
    </w:p>
    <w:p w14:paraId="3FF8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lang w:eastAsia="zh-CN"/>
        </w:rPr>
        <w:t>饮食建议</w:t>
      </w:r>
    </w:p>
    <w:p w14:paraId="11A8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）每日正常进食早餐，不以咖啡或饮料代替。</w:t>
      </w:r>
    </w:p>
    <w:p w14:paraId="44890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）日常饮食不过度油腻，连续高脂餐不超过 1 餐。</w:t>
      </w:r>
    </w:p>
    <w:p w14:paraId="67AEF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）每餐至少包含 1 份蔬菜（深色蔬菜优先）。</w:t>
      </w:r>
    </w:p>
    <w:p w14:paraId="36636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）烹调用油以蒸、煮、炖为主，减少油炸。</w:t>
      </w:r>
    </w:p>
    <w:p w14:paraId="3206D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lang w:eastAsia="zh-CN"/>
        </w:rPr>
        <w:t>定期检测建议</w:t>
      </w:r>
    </w:p>
    <w:p w14:paraId="165F1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）胆红素（BIL）：每 6–12 个月一次。</w:t>
      </w:r>
    </w:p>
    <w:p w14:paraId="78BE9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胆道代谢异常状态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10F19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胆道代谢异常状态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胆红素出现异常但尚未表现为黄疸，提示胆道代谢开始承压；若有医生特别叮嘱，请以个体化医嘱优先。</w:t>
      </w:r>
    </w:p>
    <w:p w14:paraId="6D806B73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3C9BE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（1）卵磷脂（磷脂酰胆碱）：促进胆汁乳化与排泄，减轻胆道代谢负担。</w:t>
      </w:r>
    </w:p>
    <w:p w14:paraId="58A4C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（2）水飞蓟素（奶蓟草提取物）：支持肝胆细胞功能，帮助改善胆红素代谢。</w:t>
      </w:r>
    </w:p>
    <w:p w14:paraId="4D9BE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（3）镁</w:t>
      </w:r>
      <w:r>
        <w:rPr>
          <w:rFonts w:hint="eastAsia" w:ascii="楷体" w:hAnsi="楷体" w:eastAsia="楷体" w:cs="楷体"/>
          <w:sz w:val="24"/>
          <w:lang w:eastAsia="zh-CN"/>
        </w:rPr>
        <w:t>（柠檬酸镁或甘氨酸镁）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：支持胆道舒张，减少胆汁排出阻力。</w:t>
      </w:r>
    </w:p>
    <w:p w14:paraId="61E37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2、生活方式</w:t>
      </w:r>
    </w:p>
    <w:p w14:paraId="4F9C3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（1）固定一日三餐时间，避免超过 5–6 小时不进食。</w:t>
      </w:r>
    </w:p>
    <w:p w14:paraId="617A3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（2）每次进餐后进行 10–15 分钟轻度活动（散步、整理家务）。</w:t>
      </w:r>
    </w:p>
    <w:p w14:paraId="05B2D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（3）晚上避免高强度用脑和情绪紧张，给身体足够恢复时间。</w:t>
      </w:r>
    </w:p>
    <w:p w14:paraId="0C089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（4）暂停饮酒。</w:t>
      </w:r>
    </w:p>
    <w:p w14:paraId="727E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3、饮食建议</w:t>
      </w:r>
    </w:p>
    <w:p w14:paraId="3B9AA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（1）暂时减少油炸、烧烤、肥肉等高脂食物。</w:t>
      </w:r>
    </w:p>
    <w:p w14:paraId="502E4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（2）每天至少1餐使用橄榄油、坚果等优质脂肪（不过量）。</w:t>
      </w:r>
    </w:p>
    <w:p w14:paraId="1DEB9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（3）增加膳食纤维摄入，如全谷物、豆类、蔬菜</w:t>
      </w:r>
    </w:p>
    <w:p w14:paraId="16D14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（4）避免暴饮暴食，单餐吃到七分饱。</w:t>
      </w:r>
    </w:p>
    <w:p w14:paraId="200D3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7826B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（1）胆红素（BIL）：4–8 周复测一次，若数值恢复正常，可回到胆道功能稳定的检测频率。</w:t>
      </w:r>
    </w:p>
    <w:p w14:paraId="2CA02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胆道异常外显状态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1DD86C7E">
      <w:pPr>
        <w:spacing w:line="360" w:lineRule="auto"/>
        <w:rPr>
          <w:rFonts w:ascii="楷体" w:hAnsi="楷体" w:eastAsia="楷体" w:cs="楷体"/>
          <w:sz w:val="24"/>
          <w:highlight w:val="yellow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胆道异常外显状态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胆红素异常并出现黄疸表现，提示胆汁排泄问题已外显，建议尽快就医进行进一步评估；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5072CBB6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38FE3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（1）卵磷脂（磷脂酰胆碱）：作为胆汁代谢的基础支持营养。</w:t>
      </w:r>
    </w:p>
    <w:p w14:paraId="0E6E5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水飞蓟素：支持肝胆系统抗氧化与修复能力。</w:t>
      </w:r>
    </w:p>
    <w:p w14:paraId="67CD1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维生素C：支持胆红素代谢通路，减轻氧化压力。</w:t>
      </w:r>
    </w:p>
    <w:p w14:paraId="23E29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</w:rPr>
        <w:t>生活方式</w:t>
      </w:r>
    </w:p>
    <w:p w14:paraId="6519C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明确暂停饮酒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6E6A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降低活动强度，以轻度日常活动为主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E994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每天保证充足睡眠，避免熬夜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5EB8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</w:rPr>
        <w:t>饮食建议</w:t>
      </w:r>
    </w:p>
    <w:p w14:paraId="12909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饮食以清淡为主，避免油腻、辛辣、刺激性食物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3E11C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采用少量多餐（每日4–5餐），避免一次吃得过多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02D6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保证充足饮水，分多次少量饮用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E760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食物选择以蒸、煮、炖为主</w:t>
      </w:r>
      <w:r>
        <w:rPr>
          <w:rFonts w:hint="eastAsia" w:ascii="楷体" w:hAnsi="楷体" w:eastAsia="楷体" w:cs="楷体"/>
          <w:sz w:val="24"/>
          <w:lang w:val="en-US" w:eastAsia="zh-CN"/>
        </w:rPr>
        <w:t>.</w:t>
      </w:r>
    </w:p>
    <w:p w14:paraId="4CFCD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</w:rPr>
        <w:t>定期检测建议</w:t>
      </w:r>
    </w:p>
    <w:p w14:paraId="34350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明确建议就医进行进一步评估</w:t>
      </w:r>
      <w:r>
        <w:rPr>
          <w:rFonts w:hint="eastAsia" w:ascii="楷体" w:hAnsi="楷体" w:eastAsia="楷体" w:cs="楷体"/>
          <w:sz w:val="24"/>
          <w:lang w:eastAsia="zh-CN"/>
        </w:rPr>
        <w:t>，</w:t>
      </w:r>
      <w:r>
        <w:rPr>
          <w:rFonts w:hint="eastAsia" w:ascii="楷体" w:hAnsi="楷体" w:eastAsia="楷体" w:cs="楷体"/>
          <w:sz w:val="24"/>
        </w:rPr>
        <w:t>在医疗指导下复查胆红素及相关指标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F81C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</w:p>
    <w:p w14:paraId="32D80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val="en-US" w:eastAsia="zh-CN"/>
        </w:rPr>
        <w:t>十六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）</w:t>
      </w:r>
      <w:bookmarkStart w:id="0" w:name="_GoBack"/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yellow"/>
        </w:rPr>
        <w:t>泌尿生殖系统</w:t>
      </w:r>
      <w:bookmarkEnd w:id="0"/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val="en-US" w:eastAsia="zh-CN"/>
        </w:rPr>
        <w:t>7个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  <w:t>）</w:t>
      </w:r>
    </w:p>
    <w:p w14:paraId="29657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4B057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泌尿生殖系统稳定状态</w:t>
      </w:r>
    </w:p>
    <w:p w14:paraId="045FB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泌尿生殖系统负荷偏高状态</w:t>
      </w:r>
    </w:p>
    <w:p w14:paraId="58176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泌尿生殖系统风险状态</w:t>
      </w:r>
    </w:p>
    <w:p w14:paraId="2BB49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5A249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（1）指标异常情况</w:t>
      </w:r>
    </w:p>
    <w:p w14:paraId="1A287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指标正常范围以外的都标为异常情况。</w:t>
      </w:r>
    </w:p>
    <w:p w14:paraId="061D0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（2）判断状态规则</w:t>
      </w:r>
    </w:p>
    <w:p w14:paraId="51CF3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泌尿生殖系统稳定状态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1D174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出现一项异常指标→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泌尿生殖系统负荷偏高状态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0F30D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出现≥2项异常指标→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泌尿生殖系统风险状态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576C5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038B5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泌尿生殖系统稳定状态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6684BCB2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泌尿生殖系统稳定状态</w:t>
      </w:r>
      <w:r>
        <w:rPr>
          <w:rFonts w:ascii="楷体" w:hAnsi="楷体" w:eastAsia="楷体" w:cs="楷体"/>
          <w:sz w:val="24"/>
          <w:highlight w:val="none"/>
        </w:rPr>
        <w:t>，</w:t>
      </w:r>
      <w:r>
        <w:rPr>
          <w:rFonts w:hint="eastAsia" w:ascii="楷体" w:hAnsi="楷体" w:eastAsia="楷体" w:cs="楷体"/>
          <w:sz w:val="24"/>
          <w:highlight w:val="none"/>
        </w:rPr>
        <w:t>提示肾脏过滤、尿路通路及水代谢功能整体稳定；若有医生特别叮嘱，请以个体化医嘱优先。</w:t>
      </w:r>
    </w:p>
    <w:p w14:paraId="0F597A7E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488E5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）Omega-3 脂肪酸（鱼油胶囊、亚麻籽油软胶囊）：有助于维持肾脏微循环与炎症平衡，支持长期肾脏健康。</w:t>
      </w:r>
    </w:p>
    <w:p w14:paraId="3438C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）镁（柠檬酸镁或甘氨酸镁）：参与水电解质平衡，有助于支持肾脏与尿路功能稳定。</w:t>
      </w:r>
    </w:p>
    <w:p w14:paraId="2AAFF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）维生素B族：参与能量与氮代谢过程，支持肾脏代谢负担的日常应对。</w:t>
      </w:r>
    </w:p>
    <w:p w14:paraId="589FE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lang w:eastAsia="zh-CN"/>
        </w:rPr>
        <w:t>生活方式</w:t>
      </w:r>
    </w:p>
    <w:p w14:paraId="2FF0F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）保证充足饮水，以尿色浅、不过度频繁为参考，避免长期饮水不足。</w:t>
      </w:r>
    </w:p>
    <w:p w14:paraId="21D25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）规律作息，避免长期熬夜，有助于维持肾脏夜间修复与代谢节律。</w:t>
      </w:r>
    </w:p>
    <w:p w14:paraId="770DE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）维持适度运动，每周≥150 分钟中等强度活动（快走、骑行）。</w:t>
      </w:r>
    </w:p>
    <w:p w14:paraId="4E138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lang w:eastAsia="zh-CN"/>
        </w:rPr>
        <w:t>饮食建议</w:t>
      </w:r>
    </w:p>
    <w:p w14:paraId="71D83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）饮食均衡不过量，蔬菜、全谷物、优质蛋白合理搭配。</w:t>
      </w:r>
    </w:p>
    <w:p w14:paraId="13C89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）避免长期高盐饮食，减少肾脏滤过与水钠负担。</w:t>
      </w:r>
    </w:p>
    <w:p w14:paraId="62DC2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）适量蛋白摄入，避免长期高蛋白饮食给肾脏带来额外压力。</w:t>
      </w:r>
    </w:p>
    <w:p w14:paraId="100E7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lang w:eastAsia="zh-CN"/>
        </w:rPr>
        <w:t>定期检测建议</w:t>
      </w:r>
    </w:p>
    <w:p w14:paraId="732D1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）每6–12个月1次（可与体检同步）。</w:t>
      </w:r>
    </w:p>
    <w:p w14:paraId="11D8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泌尿生殖系统负荷偏高状态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30C72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泌尿生殖系统负荷偏高状态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部分泌尿生殖系统指标出现偏离，提示肾脏或尿路正承受额外负担；若有医生特别叮嘱，请以个体化医嘱优先。</w:t>
      </w:r>
    </w:p>
    <w:p w14:paraId="333FCC2E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18DA4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（1）Omega-3 脂肪酸</w:t>
      </w:r>
      <w:r>
        <w:rPr>
          <w:rFonts w:hint="eastAsia" w:ascii="楷体" w:hAnsi="楷体" w:eastAsia="楷体" w:cs="楷体"/>
          <w:sz w:val="24"/>
          <w:lang w:eastAsia="zh-CN"/>
        </w:rPr>
        <w:t>（鱼油胶囊、亚麻籽油软胶囊）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：有助于支持抗炎环境，缓解肾脏与尿路系统的代谢负担。</w:t>
      </w:r>
    </w:p>
    <w:p w14:paraId="0D4BB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（2）N-乙酰半胱氨酸（NAC）:作为谷胱甘肽前体，支持肾脏抗氧化与解毒过程。</w:t>
      </w:r>
    </w:p>
    <w:p w14:paraId="5A79A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（2）镁</w:t>
      </w:r>
      <w:r>
        <w:rPr>
          <w:rFonts w:hint="eastAsia" w:ascii="楷体" w:hAnsi="楷体" w:eastAsia="楷体" w:cs="楷体"/>
          <w:sz w:val="24"/>
          <w:lang w:eastAsia="zh-CN"/>
        </w:rPr>
        <w:t>（柠檬酸镁或甘氨酸镁）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：有助于支持尿液浓缩与电解质平衡。</w:t>
      </w:r>
    </w:p>
    <w:p w14:paraId="2FDA5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2、生活方式</w:t>
      </w:r>
    </w:p>
    <w:p w14:paraId="2BEAA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（1）增加每日饮水频率，分次饮水，避免一次性大量摄入。</w:t>
      </w:r>
    </w:p>
    <w:p w14:paraId="06571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（2）避免憋尿，维持规律排尿，减少尿路刺激。</w:t>
      </w:r>
    </w:p>
    <w:p w14:paraId="46CF4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（3）减少过度劳累与高强度训练，避免短期内增加肾脏代谢负担。</w:t>
      </w:r>
    </w:p>
    <w:p w14:paraId="13890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3、饮食建议</w:t>
      </w:r>
    </w:p>
    <w:p w14:paraId="2AEE8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（1）减少高盐、高嘌呤饮食，控制加工食品、浓汤、内脏类。</w:t>
      </w:r>
    </w:p>
    <w:p w14:paraId="6D696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（2）饮食清淡、规律，避免暴饮暴食。</w:t>
      </w:r>
    </w:p>
    <w:p w14:paraId="0C6A4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（3）适当增加蔬菜与膳食纤维，有助于代谢废物排出与整体代谢平衡。</w:t>
      </w:r>
    </w:p>
    <w:p w14:paraId="1F35F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490A8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（1）每3–6个月1次。</w:t>
      </w:r>
    </w:p>
    <w:p w14:paraId="2C275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泌尿生殖系统风险状态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2572AF47">
      <w:pPr>
        <w:spacing w:line="360" w:lineRule="auto"/>
        <w:rPr>
          <w:rFonts w:ascii="楷体" w:hAnsi="楷体" w:eastAsia="楷体" w:cs="楷体"/>
          <w:sz w:val="24"/>
          <w:highlight w:val="yellow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泌尿生殖系统风险状态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多项关键泌尿生殖系统指标异常，提示肾脏过滤功能、蛋白屏障或尿路状态可能存在明显风险，建议尽快进行专业医疗评估；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6C6F5856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02AF6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（1）Omega-3脂肪酸</w:t>
      </w:r>
      <w:r>
        <w:rPr>
          <w:rFonts w:hint="eastAsia" w:ascii="楷体" w:hAnsi="楷体" w:eastAsia="楷体" w:cs="楷体"/>
          <w:sz w:val="24"/>
          <w:lang w:eastAsia="zh-CN"/>
        </w:rPr>
        <w:t>（鱼油胶囊、亚麻籽油软胶囊）：</w:t>
      </w:r>
      <w:r>
        <w:rPr>
          <w:rFonts w:hint="eastAsia" w:ascii="楷体" w:hAnsi="楷体" w:eastAsia="楷体" w:cs="楷体"/>
          <w:sz w:val="24"/>
        </w:rPr>
        <w:t>支持抗炎与血管内皮健康，作为整体代谢支持。</w:t>
      </w:r>
    </w:p>
    <w:p w14:paraId="672B4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N-乙酰半胱氨酸</w:t>
      </w:r>
      <w:r>
        <w:rPr>
          <w:rFonts w:hint="eastAsia" w:ascii="楷体" w:hAnsi="楷体" w:eastAsia="楷体" w:cs="楷体"/>
          <w:sz w:val="24"/>
          <w:lang w:eastAsia="zh-CN"/>
        </w:rPr>
        <w:t>：</w:t>
      </w:r>
      <w:r>
        <w:rPr>
          <w:rFonts w:hint="eastAsia" w:ascii="楷体" w:hAnsi="楷体" w:eastAsia="楷体" w:cs="楷体"/>
          <w:sz w:val="24"/>
        </w:rPr>
        <w:t>支持抗氧化与肾脏解毒通路。</w:t>
      </w:r>
    </w:p>
    <w:p w14:paraId="5F4E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优质蛋白</w:t>
      </w:r>
      <w:r>
        <w:rPr>
          <w:rFonts w:hint="eastAsia" w:ascii="楷体" w:hAnsi="楷体" w:eastAsia="楷体" w:cs="楷体"/>
          <w:sz w:val="24"/>
          <w:lang w:eastAsia="zh-CN"/>
        </w:rPr>
        <w:t>（如乳清蛋白或大豆蛋白）：</w:t>
      </w:r>
      <w:r>
        <w:rPr>
          <w:rFonts w:hint="eastAsia" w:ascii="楷体" w:hAnsi="楷体" w:eastAsia="楷体" w:cs="楷体"/>
          <w:sz w:val="24"/>
        </w:rPr>
        <w:t>在医生建议下维持营养状态，避免过量。</w:t>
      </w:r>
    </w:p>
    <w:p w14:paraId="54B54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</w:rPr>
        <w:t>生活方式</w:t>
      </w:r>
    </w:p>
    <w:p w14:paraId="341ED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）避免过度运动与熬夜。</w:t>
      </w:r>
    </w:p>
    <w:p w14:paraId="6CEBF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）暂停不必要的保健品叠加。</w:t>
      </w:r>
    </w:p>
    <w:p w14:paraId="1A78F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）保证规律饮水与排尿。</w:t>
      </w:r>
    </w:p>
    <w:p w14:paraId="3A628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</w:rPr>
        <w:t>饮食建议</w:t>
      </w:r>
    </w:p>
    <w:p w14:paraId="1608F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）饮食清淡、易消化。</w:t>
      </w:r>
    </w:p>
    <w:p w14:paraId="4412F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）控制盐分与动物蛋白摄入量。</w:t>
      </w:r>
    </w:p>
    <w:p w14:paraId="52CFF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）避免极端节食或高蛋白饮食。</w:t>
      </w:r>
    </w:p>
    <w:p w14:paraId="31B2B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</w:rPr>
        <w:t>定期检测建议</w:t>
      </w:r>
    </w:p>
    <w:p w14:paraId="7132B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）1–3个月复测1次，或遵医嘱。</w:t>
      </w:r>
    </w:p>
    <w:p w14:paraId="2E219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yellow"/>
        </w:rPr>
      </w:pPr>
    </w:p>
    <w:p w14:paraId="624F1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十七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心理健康系统</w:t>
      </w:r>
    </w:p>
    <w:p w14:paraId="53512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yellow"/>
          <w:lang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4DE1F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十八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老年健康系统</w:t>
      </w:r>
    </w:p>
    <w:p w14:paraId="30951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545DA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十九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感染系统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1个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</w:p>
    <w:p w14:paraId="6CE9F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17983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感染相关信号未见</w:t>
      </w:r>
    </w:p>
    <w:p w14:paraId="0B8E3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感染相关信号异常</w:t>
      </w:r>
    </w:p>
    <w:p w14:paraId="73A726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2345E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（1）判断状态规则</w:t>
      </w:r>
    </w:p>
    <w:p w14:paraId="6EFC2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正常范围→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感染相关信号未见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5A441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异常范围→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感染相关信号异常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18439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1559F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感染相关信号未见状态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7FAE5A8C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感染相关信号未见状态</w:t>
      </w:r>
      <w:r>
        <w:rPr>
          <w:rFonts w:ascii="楷体" w:hAnsi="楷体" w:eastAsia="楷体" w:cs="楷体"/>
          <w:sz w:val="24"/>
          <w:highlight w:val="none"/>
        </w:rPr>
        <w:t>，</w:t>
      </w:r>
      <w:r>
        <w:rPr>
          <w:rFonts w:hint="eastAsia" w:ascii="楷体" w:hAnsi="楷体" w:eastAsia="楷体" w:cs="楷体"/>
          <w:sz w:val="24"/>
          <w:highlight w:val="none"/>
        </w:rPr>
        <w:t>提示当前未发现明确的感染相关代谢信号；若有医生特别叮嘱，请以个体化医嘱优先。</w:t>
      </w:r>
    </w:p>
    <w:p w14:paraId="54F9E6B3">
      <w:pPr>
        <w:spacing w:line="360" w:lineRule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0CB71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）维生素C：支持免疫细胞功能与抗氧化防御，有助于维持正常感染防御能力。</w:t>
      </w:r>
    </w:p>
    <w:p w14:paraId="11F13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）锌（葡萄糖酸锌/硫酸锌/柠檬酸锌）：参与先天免疫和黏膜屏障功能，支持身体对细菌的基础防护。</w:t>
      </w:r>
    </w:p>
    <w:p w14:paraId="799C2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）维生素D：调节免疫反应强度，帮助维持免疫系统的稳态。</w:t>
      </w:r>
    </w:p>
    <w:p w14:paraId="554B8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lang w:eastAsia="zh-CN"/>
        </w:rPr>
        <w:t>生活方式</w:t>
      </w:r>
    </w:p>
    <w:p w14:paraId="5AC00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）每天保证7–8小时稳定睡眠，避免连续熬夜。</w:t>
      </w:r>
    </w:p>
    <w:p w14:paraId="4B778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）保持规律作息，尽量固定起床和入睡时间。</w:t>
      </w:r>
    </w:p>
    <w:p w14:paraId="07DE5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）日常注意手部和个人卫生，尤其在公共场所后及时洗手。</w:t>
      </w:r>
    </w:p>
    <w:p w14:paraId="762AB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）保持适度活动量，如每日6000–8000步轻中度活动。</w:t>
      </w:r>
    </w:p>
    <w:p w14:paraId="086E2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lang w:eastAsia="zh-CN"/>
        </w:rPr>
        <w:t>饮食建议</w:t>
      </w:r>
    </w:p>
    <w:p w14:paraId="2D48C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）三餐规律进食，避免长期不吃早餐或过度节食。</w:t>
      </w:r>
    </w:p>
    <w:p w14:paraId="2F093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）每日摄入充足蔬菜水果（至少2–3种蔬菜+1–2种水果）。</w:t>
      </w:r>
    </w:p>
    <w:p w14:paraId="3BCDD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）每餐包含优质蛋白（鱼、蛋、豆制品、瘦肉）。</w:t>
      </w:r>
    </w:p>
    <w:p w14:paraId="0BBD1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）保证充足饮水，避免长期尿液过度浓缩。</w:t>
      </w:r>
    </w:p>
    <w:p w14:paraId="47E85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lang w:eastAsia="zh-CN"/>
        </w:rPr>
        <w:t>定期检测建议</w:t>
      </w:r>
    </w:p>
    <w:p w14:paraId="5B814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）按常规健康检查节奏复测（如6–12个月一次）；若出现不适症状或环境变化，可提前复测。</w:t>
      </w:r>
    </w:p>
    <w:p w14:paraId="4F2FC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感染相关信号异常状态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03D8F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感染相关信号异常状态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亚硝酸盐数值超出正常范围，提示存在感染相关代谢信号，建议复测并密切观察，如异常持续或伴随不适症状，建议就医评估；若有医生特别叮嘱，请以个体化医嘱优先。</w:t>
      </w:r>
    </w:p>
    <w:p w14:paraId="029D506F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1B734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（1）维生素 C：支持免疫应答与抗氧化反应，有助于缩短感染相关过程的持续时间。</w:t>
      </w:r>
    </w:p>
    <w:p w14:paraId="365AD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（2）锌（葡萄糖酸锌/硫酸锌/柠檬酸锌）：支持免疫细胞增殖与功能，帮助机体应对细菌相关挑战。</w:t>
      </w:r>
    </w:p>
    <w:p w14:paraId="074DC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（3）益生菌（乳酸菌 / 双歧杆菌）：支持肠道与泌尿道微生态平衡，降低细菌异常定植风险。</w:t>
      </w:r>
    </w:p>
    <w:p w14:paraId="1712E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2、生活方式</w:t>
      </w:r>
    </w:p>
    <w:p w14:paraId="6E551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（1）保证充分休息，避免高强度体力或精神负荷。</w:t>
      </w:r>
    </w:p>
    <w:p w14:paraId="5301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（2）避免憋尿，保持规律排尿习惯。</w:t>
      </w:r>
    </w:p>
    <w:p w14:paraId="260BB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（3）增加日常饮水量，分多次少量饮用。</w:t>
      </w:r>
    </w:p>
    <w:p w14:paraId="49A33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3、饮食建议</w:t>
      </w:r>
    </w:p>
    <w:p w14:paraId="4EF8D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（1）饮食以清淡、易消化为主，避免辛辣、刺激性食物。</w:t>
      </w:r>
    </w:p>
    <w:p w14:paraId="2CAC1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（2）暂时减少高糖、高脂、酒精摄入。</w:t>
      </w:r>
    </w:p>
    <w:p w14:paraId="2182D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（3）增加富含维生素和抗氧化物的食物（深色蔬菜、浆果类）。</w:t>
      </w:r>
    </w:p>
    <w:p w14:paraId="79750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（4）每日保证足够蛋白质摄入，支持免疫修复。</w:t>
      </w:r>
    </w:p>
    <w:p w14:paraId="3275D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20C7A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（1）1–2周内复测一次。</w:t>
      </w:r>
    </w:p>
    <w:p w14:paraId="04D48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ascii="Times New Roman" w:hAnsi="Times New Roman" w:eastAsia="楷体" w:cs="Times New Roman"/>
          <w:b/>
          <w:bCs/>
          <w:sz w:val="24"/>
          <w:szCs w:val="24"/>
        </w:rPr>
      </w:pPr>
    </w:p>
    <w:p w14:paraId="3EE04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二十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健康行为系统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31个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p w14:paraId="3DBA0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2EE09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健康行为稳定状态</w:t>
      </w:r>
    </w:p>
    <w:p w14:paraId="1F547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健康行为偏离状态</w:t>
      </w:r>
    </w:p>
    <w:p w14:paraId="7B591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健康行为风险累积状态</w:t>
      </w:r>
    </w:p>
    <w:p w14:paraId="12798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5A7C0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1F74E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（1）指标异常情况</w:t>
      </w:r>
    </w:p>
    <w:p w14:paraId="2F2A5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指标正常范围以外的都标为异常情况。</w:t>
      </w:r>
    </w:p>
    <w:p w14:paraId="73B87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（2）分组划分</w:t>
      </w:r>
    </w:p>
    <w:p w14:paraId="3FFBC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体成分/能量：体重、体型、BMI、体脂率、内脏脂肪指数、脂肪量、体脂量控制、基础代谢率、身体得分、身体年龄</w:t>
      </w:r>
    </w:p>
    <w:p w14:paraId="61B47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身体构成：水分率、蛋白率、身高</w:t>
      </w:r>
    </w:p>
    <w:p w14:paraId="19CD0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体液 / 代谢环境：尿 pH、尿维生素 C（尿常规）</w:t>
      </w:r>
    </w:p>
    <w:p w14:paraId="202BD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维生素：VA、VB1、VB2、VB6、VB9、VB12、VC、VD3、VE、VK1</w:t>
      </w:r>
    </w:p>
    <w:p w14:paraId="403D5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矿物质：钙、镁、铁、锌、铜、锰</w:t>
      </w:r>
    </w:p>
    <w:p w14:paraId="3F68A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（3）判断状态规则</w:t>
      </w:r>
    </w:p>
    <w:p w14:paraId="14932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健康行为稳定状态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65D23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同一分组下≤2个指标出现异常→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健康行为偏离状态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1A8EF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同一分组下大于等于3个指标出现异常或异常指标出现在≥2个分组→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健康行为风险累积状态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66578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70B9E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健康行为稳定状态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5F68DF8F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健康行为稳定状态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各项体成分、营养与代谢相关指标处于合理范围，提示当前生活方式与身体需求整体匹配；若有医生特别叮嘱，请以个体化医嘱优先。</w:t>
      </w:r>
    </w:p>
    <w:p w14:paraId="367D6ED0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331D2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）复合维生素：维持微量营养素充足，防止长期轻度缺乏的“隐性风险”。</w:t>
      </w:r>
    </w:p>
    <w:p w14:paraId="5F125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）Omega-3（鱼油胶囊、亚麻籽油软胶囊）：支持代谢与炎症平衡，利于长期体成分稳定。</w:t>
      </w:r>
    </w:p>
    <w:p w14:paraId="3EA82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）镁（甘氨酸镁或柠檬酸镁）：参与能量代谢与水电解质平衡，支持睡眠与运动恢复。</w:t>
      </w:r>
    </w:p>
    <w:p w14:paraId="63CBC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、生活方式</w:t>
      </w:r>
    </w:p>
    <w:p w14:paraId="5DCC6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）作息：固定起床时间，保证 7–8 小时睡眠。</w:t>
      </w:r>
    </w:p>
    <w:p w14:paraId="555E0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）运动：每周≥150 分钟中等强度（快走/骑行），+ 2 次力量训练。</w:t>
      </w:r>
    </w:p>
    <w:p w14:paraId="69932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）饮水：分次饮水，尿色浅为参考。</w:t>
      </w:r>
    </w:p>
    <w:p w14:paraId="4F76A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、饮食建议</w:t>
      </w:r>
    </w:p>
    <w:p w14:paraId="24210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）盘式法：半盘蔬菜 + 1/4 优质蛋白 + 1/4 全谷/豆类。</w:t>
      </w:r>
    </w:p>
    <w:p w14:paraId="3DF10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）油脂：以橄榄油/坚果/鱼类为主，少反式脂肪。</w:t>
      </w:r>
    </w:p>
    <w:p w14:paraId="5BAD5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）盐与糖：减少加工食品，控制含糖饮料。</w:t>
      </w:r>
    </w:p>
    <w:p w14:paraId="3E2A4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、定期检测</w:t>
      </w:r>
    </w:p>
    <w:p w14:paraId="76951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）频率：每 6–12 个月 1 次</w:t>
      </w:r>
    </w:p>
    <w:p w14:paraId="125FA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健康行为偏离状态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24BC0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健康行为偏离状态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部分健康行为相关指标出现偏离，提示饮食、活动或作息与身体需求存在不匹配；若有医生特别叮嘱，请以个体化医嘱优先。</w:t>
      </w:r>
    </w:p>
    <w:p w14:paraId="2E754BC8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4C2D7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（1）针对性维生素/矿物质（缺什么补什么）：纠正已出现的单一营养偏离，避免扩散。</w:t>
      </w:r>
    </w:p>
    <w:p w14:paraId="37ED9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（2）蛋白补充（乳清/大豆）：支持体成分与基础代谢的恢复。</w:t>
      </w:r>
    </w:p>
    <w:p w14:paraId="0529E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（3）Omega-3（鱼油胶囊、亚麻籽油软胶囊）：改善代谢环境，配合体脂与炎症管理。</w:t>
      </w:r>
    </w:p>
    <w:p w14:paraId="18618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2、生活方式</w:t>
      </w:r>
    </w:p>
    <w:p w14:paraId="3E070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（1）运动结构：力量训练 ≥2 次/周，有氧 ≥120 分钟/周。</w:t>
      </w:r>
    </w:p>
    <w:p w14:paraId="5CE4D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（2）久坐管理：每 60 分钟起身 2–3 分钟。</w:t>
      </w:r>
    </w:p>
    <w:p w14:paraId="4F486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（3）睡眠：固定入睡窗口（±30 分钟）。</w:t>
      </w:r>
    </w:p>
    <w:p w14:paraId="5DC4B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3、饮食建议</w:t>
      </w:r>
    </w:p>
    <w:p w14:paraId="25A3F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（1）蛋白优先：每餐掌心大小（鱼/蛋/豆/瘦肉）。</w:t>
      </w:r>
    </w:p>
    <w:p w14:paraId="1047A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（2）纤维增加：蔬菜≥500 g/日 + 全谷/豆类。</w:t>
      </w:r>
    </w:p>
    <w:p w14:paraId="49FE8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（3）减少高盐/高糖：外卖≤2 次/周。</w:t>
      </w:r>
    </w:p>
    <w:p w14:paraId="0A9CF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</w:t>
      </w:r>
    </w:p>
    <w:p w14:paraId="59921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（1）频率：每3–6个月 1 次。</w:t>
      </w:r>
    </w:p>
    <w:p w14:paraId="11345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健康行为风险累积状态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3E199E1C">
      <w:pPr>
        <w:spacing w:line="360" w:lineRule="auto"/>
        <w:rPr>
          <w:rFonts w:ascii="楷体" w:hAnsi="楷体" w:eastAsia="楷体" w:cs="楷体"/>
          <w:sz w:val="24"/>
          <w:highlight w:val="yellow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健康行为风险累积状态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多类健康行为相关指标同时异常，提示长期生活方式问题已在身体层面形成明显风险，建议尽快进行专业医疗评估；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7AF79640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1E556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针对性维生素/矿物质（缺什么补什么）：纠正已出现的单一营养偏离，避免扩散。</w:t>
      </w:r>
    </w:p>
    <w:p w14:paraId="04913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Omega-3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（鱼油胶囊、亚麻籽油软胶囊）</w:t>
      </w:r>
      <w:r>
        <w:rPr>
          <w:rFonts w:hint="eastAsia" w:ascii="楷体" w:hAnsi="楷体" w:eastAsia="楷体" w:cs="楷体"/>
          <w:sz w:val="24"/>
          <w:lang w:eastAsia="zh-CN"/>
        </w:rPr>
        <w:t>：</w:t>
      </w:r>
      <w:r>
        <w:rPr>
          <w:rFonts w:hint="eastAsia" w:ascii="楷体" w:hAnsi="楷体" w:eastAsia="楷体" w:cs="楷体"/>
          <w:sz w:val="24"/>
        </w:rPr>
        <w:t>支持代谢与心血管/炎症通路的整体稳定。</w:t>
      </w:r>
    </w:p>
    <w:p w14:paraId="706BA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</w:rPr>
        <w:t>、生活方式</w:t>
      </w:r>
    </w:p>
    <w:p w14:paraId="207ED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运动处方：力量 2–3 次/周（循序渐进）+ 有氧 150 分钟/周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1B23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作息重建：固定起床时间，午后避免咖啡因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33B89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压力管理：每日 10 分钟呼吸/放松练习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E604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</w:rPr>
        <w:t>、饮食建议</w:t>
      </w:r>
    </w:p>
    <w:p w14:paraId="68E71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能量管理：避免极端节食；以轻度能量赤字/平衡为主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6F81D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蛋白分配：三餐均分，避免“晚餐集中”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EB69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超加工食品：尽量停用 8–12 周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467F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</w:rPr>
        <w:t>、定期检测</w:t>
      </w:r>
    </w:p>
    <w:p w14:paraId="20475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频率：每1–3个月1次，或遵医嘱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1B69D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</w:p>
    <w:p w14:paraId="01528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二十一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</w:rPr>
        <w:t>环境健康系统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val="en-US" w:eastAsia="zh-CN"/>
        </w:rPr>
        <w:t>2个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  <w:t>）</w:t>
      </w:r>
    </w:p>
    <w:p w14:paraId="2062A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1. 状态</w:t>
      </w:r>
    </w:p>
    <w:p w14:paraId="03457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环境暴露可控状态</w:t>
      </w:r>
    </w:p>
    <w:p w14:paraId="78138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环境暴露提示状态</w:t>
      </w:r>
    </w:p>
    <w:p w14:paraId="2C12A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环境暴露累积趋势状态</w:t>
      </w:r>
    </w:p>
    <w:p w14:paraId="76BBA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5F479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2. 状态对应触发条件以及逻辑关系</w:t>
      </w:r>
    </w:p>
    <w:p w14:paraId="68481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（1）指标异常情况</w:t>
      </w:r>
    </w:p>
    <w:p w14:paraId="3DD33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指标正常范围以外的都标为异常情况。</w:t>
      </w:r>
    </w:p>
    <w:p w14:paraId="66589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（2）判断状态规则</w:t>
      </w:r>
    </w:p>
    <w:p w14:paraId="7F843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环境暴露可控状态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→方案一</w:t>
      </w:r>
    </w:p>
    <w:p w14:paraId="1C7D4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两个指标中有1项异常指标→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环境暴露提示状态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→方案二</w:t>
      </w:r>
    </w:p>
    <w:p w14:paraId="53C97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两个指标均异常→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环境暴露累积趋势状态</w:t>
      </w: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→方案三</w:t>
      </w:r>
    </w:p>
    <w:p w14:paraId="50D72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3. 状态方案</w:t>
      </w:r>
    </w:p>
    <w:p w14:paraId="70A56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ascii="楷体" w:hAnsi="楷体" w:eastAsia="楷体" w:cs="楷体"/>
          <w:sz w:val="24"/>
          <w:szCs w:val="24"/>
        </w:rPr>
        <w:t>一、方案一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环境暴露可控状态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2D935FD3">
      <w:pPr>
        <w:spacing w:line="360" w:lineRule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环境暴露可控状态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镉和铅水平均处于可接受范围，未发现明显环境暴露信号；若有医生特别叮嘱，请以个体化医嘱优先。</w:t>
      </w:r>
    </w:p>
    <w:p w14:paraId="22469A31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13B4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）钙（</w:t>
      </w:r>
      <w:r>
        <w:rPr>
          <w:rFonts w:hint="eastAsia" w:ascii="楷体" w:hAnsi="楷体" w:eastAsia="楷体" w:cs="楷体"/>
          <w:sz w:val="24"/>
          <w:lang w:val="en-US" w:eastAsia="zh-CN"/>
        </w:rPr>
        <w:t>柠檬酸钙</w:t>
      </w:r>
      <w:r>
        <w:rPr>
          <w:rFonts w:hint="eastAsia" w:ascii="楷体" w:hAnsi="楷体" w:eastAsia="楷体" w:cs="楷体"/>
          <w:sz w:val="24"/>
          <w:lang w:eastAsia="zh-CN"/>
        </w:rPr>
        <w:t>）：减少肠道对铅和镉的吸收，支持矿物质竞争性排斥。</w:t>
      </w:r>
    </w:p>
    <w:p w14:paraId="42B7A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）铁（硫酸亚铁/富马酸铁）：在铁储备充足时，可降低铅在体内的吸收和利用。</w:t>
      </w:r>
    </w:p>
    <w:p w14:paraId="4A562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）维生素 C：支持重金属的抗氧化防护与排泄过程。</w:t>
      </w:r>
    </w:p>
    <w:p w14:paraId="08A7F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  <w:lang w:eastAsia="zh-CN"/>
        </w:rPr>
        <w:t>生活方式</w:t>
      </w:r>
    </w:p>
    <w:p w14:paraId="09267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使用合规的饮用水来源，避免长期饮用来源不明的水</w:t>
      </w:r>
    </w:p>
    <w:p w14:paraId="190D6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避免在交通密集或工业污染区域长时间停留</w:t>
      </w:r>
    </w:p>
    <w:p w14:paraId="154F7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家庭定期清洁地面和灰尘，减少环境颗粒物接触</w:t>
      </w:r>
    </w:p>
    <w:p w14:paraId="1312B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若从事可能接触金属的工作，下班后及时更换衣物、清洗双手</w:t>
      </w:r>
    </w:p>
    <w:p w14:paraId="6E800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  <w:lang w:eastAsia="zh-CN"/>
        </w:rPr>
        <w:t>饮食建议</w:t>
      </w:r>
    </w:p>
    <w:p w14:paraId="42FB8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每日保证三餐规律进食，避免空腹状态下接触环境污染物</w:t>
      </w:r>
    </w:p>
    <w:p w14:paraId="13047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食材充分清洗，蔬菜水果在流动水下清洗</w:t>
      </w:r>
    </w:p>
    <w:p w14:paraId="165D3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饮食结构多样化，避免长期单一来源食物</w:t>
      </w:r>
    </w:p>
    <w:p w14:paraId="20739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适量摄入富含钙、铁的食物（奶制品、豆类、瘦肉）</w:t>
      </w:r>
    </w:p>
    <w:p w14:paraId="290E3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  <w:lang w:eastAsia="zh-CN"/>
        </w:rPr>
        <w:t>定期检测建议</w:t>
      </w:r>
    </w:p>
    <w:p w14:paraId="0C891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）每 12 个月复测一次，若环境或工作场景发生变化，可提前复测。</w:t>
      </w:r>
    </w:p>
    <w:p w14:paraId="34ED2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二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环境暴露提示状态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0BC06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 w:cs="楷体"/>
          <w:sz w:val="24"/>
          <w:highlight w:val="none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环境暴露提示状态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镉或铅出现异常，提示可能存在环境接触来源；若有医生特别叮嘱，请以个体化医嘱优先。</w:t>
      </w:r>
    </w:p>
    <w:p w14:paraId="62AE4C19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767CE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（1）钙</w:t>
      </w: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柠檬酸钙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：通过矿物质竞争机制，降低铅与镉的吸收比例。</w:t>
      </w:r>
    </w:p>
    <w:p w14:paraId="7CAB8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（2）锌（葡萄糖酸锌/硫酸锌/柠檬酸锌）：与镉、铅存在竞争关系，有助于减少其在体内的生物利用度。</w:t>
      </w:r>
    </w:p>
    <w:p w14:paraId="64545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（3）维生素 C：增强抗氧化能力，支持重金属代谢与清除通路。</w:t>
      </w:r>
    </w:p>
    <w:p w14:paraId="79E8E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2、生活方式</w:t>
      </w:r>
    </w:p>
    <w:p w14:paraId="281F1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（1）系统排查日常暴露来源（饮水、炊具、居住环境、工作场景）。</w:t>
      </w:r>
    </w:p>
    <w:p w14:paraId="40129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（2）避免使用来源不明的金属器皿或旧涂层容器。</w:t>
      </w:r>
    </w:p>
    <w:p w14:paraId="15753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（3）室内保持良好通风，定期湿式清洁减少扬尘。</w:t>
      </w:r>
    </w:p>
    <w:p w14:paraId="0266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（4）若怀疑职业或环境暴露，尽量减少直接接触频率。</w:t>
      </w:r>
    </w:p>
    <w:p w14:paraId="3139B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3、饮食建议</w:t>
      </w:r>
    </w:p>
    <w:p w14:paraId="642CE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（1）避免空腹饮酒或空腹接触污染环境。</w:t>
      </w:r>
    </w:p>
    <w:p w14:paraId="62684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（2）增加富含膳食纤维的食物（全谷、蔬菜、豆类），促进肠道排泄。</w:t>
      </w:r>
    </w:p>
    <w:p w14:paraId="026F7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（3）优先选择来源可追溯的食材，减少野采或来源不明食品。</w:t>
      </w:r>
    </w:p>
    <w:p w14:paraId="1CDFC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（4）每日保证足量蛋白质摄入，支持解毒与修复过程。</w:t>
      </w:r>
    </w:p>
    <w:p w14:paraId="356BD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4、定期检测建议</w:t>
      </w:r>
    </w:p>
    <w:p w14:paraId="1481B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（1）3–6 个月复测一次，若数值恢复正常，可回到可控状态的检测频率。</w:t>
      </w:r>
    </w:p>
    <w:p w14:paraId="597E1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ascii="楷体" w:hAnsi="楷体" w:eastAsia="楷体" w:cs="楷体"/>
          <w:sz w:val="24"/>
          <w:szCs w:val="24"/>
        </w:rPr>
        <w:t>、方案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三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环境暴露累积趋势状态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）</w:t>
      </w:r>
    </w:p>
    <w:p w14:paraId="066F7431">
      <w:pPr>
        <w:spacing w:line="360" w:lineRule="auto"/>
        <w:rPr>
          <w:rFonts w:ascii="楷体" w:hAnsi="楷体" w:eastAsia="楷体" w:cs="楷体"/>
          <w:sz w:val="24"/>
          <w:highlight w:val="yellow"/>
        </w:rPr>
      </w:pPr>
      <w:r>
        <w:rPr>
          <w:rFonts w:hint="eastAsia" w:ascii="楷体" w:hAnsi="楷体" w:eastAsia="楷体" w:cs="楷体"/>
          <w:sz w:val="24"/>
          <w:highlight w:val="none"/>
        </w:rPr>
        <w:t>注：</w:t>
      </w:r>
      <w:r>
        <w:rPr>
          <w:rFonts w:ascii="楷体" w:hAnsi="楷体" w:eastAsia="楷体" w:cs="楷体"/>
          <w:sz w:val="24"/>
          <w:highlight w:val="none"/>
        </w:rPr>
        <w:t>您当前处于</w:t>
      </w:r>
      <w:r>
        <w:rPr>
          <w:rFonts w:hint="default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环境暴露累积趋势状态</w:t>
      </w:r>
      <w:r>
        <w:rPr>
          <w:rFonts w:ascii="楷体" w:hAnsi="楷体" w:eastAsia="楷体" w:cs="楷体"/>
          <w:sz w:val="24"/>
          <w:highlight w:val="none"/>
        </w:rPr>
        <w:t>，说明</w:t>
      </w:r>
      <w:r>
        <w:rPr>
          <w:rFonts w:hint="eastAsia" w:ascii="楷体" w:hAnsi="楷体" w:eastAsia="楷体" w:cs="楷体"/>
          <w:sz w:val="24"/>
          <w:highlight w:val="none"/>
        </w:rPr>
        <w:t>镉和铅异常信号叠加或持续存在，提示环境暴露正在累积，建议咨询医疗或环境健康专业人员进行进一步评估；</w:t>
      </w:r>
      <w:r>
        <w:rPr>
          <w:rFonts w:hint="eastAsia" w:ascii="楷体" w:hAnsi="楷体" w:eastAsia="楷体" w:cs="楷体"/>
          <w:sz w:val="24"/>
          <w:highlight w:val="none"/>
          <w:lang w:val="en-US" w:eastAsia="zh-CN"/>
        </w:rPr>
        <w:t>以下为一般性建议，请在医生的指导下使用</w:t>
      </w:r>
      <w:r>
        <w:rPr>
          <w:rFonts w:hint="eastAsia" w:ascii="楷体" w:hAnsi="楷体" w:eastAsia="楷体" w:cs="楷体"/>
          <w:sz w:val="24"/>
          <w:highlight w:val="none"/>
        </w:rPr>
        <w:t>。</w:t>
      </w:r>
    </w:p>
    <w:p w14:paraId="625D93E2">
      <w:pPr>
        <w:spacing w:line="360" w:lineRule="auto"/>
        <w:rPr>
          <w:rFonts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1、</w:t>
      </w:r>
      <w:r>
        <w:rPr>
          <w:rFonts w:ascii="楷体" w:hAnsi="楷体" w:eastAsia="楷体" w:cs="楷体"/>
          <w:sz w:val="24"/>
        </w:rPr>
        <w:t>营养</w:t>
      </w:r>
      <w:r>
        <w:rPr>
          <w:rFonts w:hint="eastAsia" w:ascii="楷体" w:hAnsi="楷体" w:eastAsia="楷体" w:cs="楷体"/>
          <w:sz w:val="24"/>
        </w:rPr>
        <w:t>补充建议</w:t>
      </w:r>
    </w:p>
    <w:p w14:paraId="4E1C5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</w:rPr>
        <w:t>（1）钙</w:t>
      </w: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柠檬酸钙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：作为基础矿物支持，持续降低重金属吸收风险。</w:t>
      </w:r>
    </w:p>
    <w:p w14:paraId="50654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锌（葡萄糖酸锌/硫酸锌/柠檬酸锌）：支持金属代谢平衡，减少有害金属的生物利用度。</w:t>
      </w:r>
    </w:p>
    <w:p w14:paraId="34329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维生素 C：支持抗氧化防护，缓解重金属相关的氧化压力。</w:t>
      </w:r>
    </w:p>
    <w:p w14:paraId="52980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2、</w:t>
      </w:r>
      <w:r>
        <w:rPr>
          <w:rFonts w:hint="eastAsia" w:ascii="楷体" w:hAnsi="楷体" w:eastAsia="楷体" w:cs="楷体"/>
          <w:sz w:val="24"/>
        </w:rPr>
        <w:t>生活方式</w:t>
      </w:r>
    </w:p>
    <w:p w14:paraId="16774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明确减少或中断已识别的暴露来源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5B2A3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避免儿童或孕期人群接触可能污染的环境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AB32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如存在职业暴露，建议使用防护装备并遵循安全流程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742F0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3、</w:t>
      </w:r>
      <w:r>
        <w:rPr>
          <w:rFonts w:hint="eastAsia" w:ascii="楷体" w:hAnsi="楷体" w:eastAsia="楷体" w:cs="楷体"/>
          <w:sz w:val="24"/>
        </w:rPr>
        <w:t>饮食建议</w:t>
      </w:r>
    </w:p>
    <w:p w14:paraId="5F50F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饮食以天然、少加工食物为主，减少高度加工食品</w:t>
      </w:r>
    </w:p>
    <w:p w14:paraId="51A80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2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持续增加膳食纤维摄入，支持肠道排泄通路</w:t>
      </w:r>
    </w:p>
    <w:p w14:paraId="4058E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3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避免来源不明的海产品、野生植物或传统偏方</w:t>
      </w:r>
    </w:p>
    <w:p w14:paraId="29427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4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保证充足饮水，分次少量饮用</w:t>
      </w:r>
    </w:p>
    <w:p w14:paraId="50208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楷体" w:hAnsi="楷体" w:eastAsia="楷体" w:cs="楷体"/>
          <w:sz w:val="24"/>
        </w:rPr>
      </w:pPr>
      <w:r>
        <w:rPr>
          <w:rFonts w:hint="eastAsia" w:ascii="楷体" w:hAnsi="楷体" w:eastAsia="楷体" w:cs="楷体"/>
          <w:sz w:val="24"/>
          <w:lang w:val="en-US" w:eastAsia="zh-CN"/>
        </w:rPr>
        <w:t>4、</w:t>
      </w:r>
      <w:r>
        <w:rPr>
          <w:rFonts w:hint="eastAsia" w:ascii="楷体" w:hAnsi="楷体" w:eastAsia="楷体" w:cs="楷体"/>
          <w:sz w:val="24"/>
        </w:rPr>
        <w:t>定期检测建议</w:t>
      </w:r>
    </w:p>
    <w:p w14:paraId="448E3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sz w:val="24"/>
          <w:lang w:eastAsia="zh-CN"/>
        </w:rPr>
        <w:t>（</w:t>
      </w:r>
      <w:r>
        <w:rPr>
          <w:rFonts w:hint="eastAsia" w:ascii="楷体" w:hAnsi="楷体" w:eastAsia="楷体" w:cs="楷体"/>
          <w:sz w:val="24"/>
          <w:lang w:val="en-US" w:eastAsia="zh-CN"/>
        </w:rPr>
        <w:t>1</w:t>
      </w:r>
      <w:r>
        <w:rPr>
          <w:rFonts w:hint="eastAsia" w:ascii="楷体" w:hAnsi="楷体" w:eastAsia="楷体" w:cs="楷体"/>
          <w:sz w:val="24"/>
          <w:lang w:eastAsia="zh-CN"/>
        </w:rPr>
        <w:t>）</w:t>
      </w:r>
      <w:r>
        <w:rPr>
          <w:rFonts w:hint="eastAsia" w:ascii="楷体" w:hAnsi="楷体" w:eastAsia="楷体" w:cs="楷体"/>
          <w:sz w:val="24"/>
        </w:rPr>
        <w:t>每 3 个月复测一次</w:t>
      </w:r>
      <w:r>
        <w:rPr>
          <w:rFonts w:hint="eastAsia" w:ascii="楷体" w:hAnsi="楷体" w:eastAsia="楷体" w:cs="楷体"/>
          <w:sz w:val="24"/>
          <w:lang w:eastAsia="zh-CN"/>
        </w:rPr>
        <w:t>；</w:t>
      </w:r>
      <w:r>
        <w:rPr>
          <w:rFonts w:hint="eastAsia" w:ascii="楷体" w:hAnsi="楷体" w:eastAsia="楷体" w:cs="楷体"/>
          <w:sz w:val="24"/>
        </w:rPr>
        <w:t>建议结合专业评估或就医咨询，明确暴露来源与风险控制策略</w:t>
      </w:r>
      <w:r>
        <w:rPr>
          <w:rFonts w:hint="eastAsia" w:ascii="楷体" w:hAnsi="楷体" w:eastAsia="楷体" w:cs="楷体"/>
          <w:sz w:val="24"/>
          <w:lang w:eastAsia="zh-CN"/>
        </w:rPr>
        <w:t>。</w:t>
      </w:r>
    </w:p>
    <w:p w14:paraId="4BABC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</w:pPr>
    </w:p>
    <w:p w14:paraId="4F95F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</w:pP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val="en-US" w:eastAsia="zh-CN"/>
        </w:rPr>
        <w:t>二十二</w:t>
      </w:r>
      <w:r>
        <w:rPr>
          <w:rFonts w:hint="eastAsia" w:ascii="Times New Roman" w:hAnsi="Times New Roman" w:eastAsia="楷体" w:cs="Times New Roman"/>
          <w:b/>
          <w:bCs/>
          <w:sz w:val="24"/>
          <w:szCs w:val="24"/>
          <w:highlight w:val="none"/>
          <w:lang w:eastAsia="zh-CN"/>
        </w:rPr>
        <w:t>）</w:t>
      </w:r>
      <w:r>
        <w:rPr>
          <w:rFonts w:hint="default" w:ascii="Times New Roman" w:hAnsi="Times New Roman" w:eastAsia="楷体" w:cs="Times New Roman"/>
          <w:b/>
          <w:bCs/>
          <w:sz w:val="24"/>
          <w:szCs w:val="24"/>
          <w:highlight w:val="none"/>
        </w:rPr>
        <w:t>遗传与基因健康系统</w:t>
      </w:r>
    </w:p>
    <w:p w14:paraId="6EBBD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Times New Roman" w:hAnsi="Times New Roman" w:eastAsia="楷体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楷体" w:cs="Times New Roman"/>
          <w:b w:val="0"/>
          <w:bCs w:val="0"/>
          <w:sz w:val="24"/>
          <w:szCs w:val="24"/>
          <w:lang w:val="en-US" w:eastAsia="zh-CN"/>
        </w:rPr>
        <w:t>无</w:t>
      </w:r>
    </w:p>
    <w:p w14:paraId="7DBFCE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30D0A"/>
    <w:rsid w:val="00D27EA5"/>
    <w:rsid w:val="09C13E54"/>
    <w:rsid w:val="0AC51722"/>
    <w:rsid w:val="159D026B"/>
    <w:rsid w:val="18C41253"/>
    <w:rsid w:val="19A370D2"/>
    <w:rsid w:val="22D14CB0"/>
    <w:rsid w:val="2F426AB0"/>
    <w:rsid w:val="3A2A4F7A"/>
    <w:rsid w:val="43C30D0A"/>
    <w:rsid w:val="45D65FB6"/>
    <w:rsid w:val="46D00C57"/>
    <w:rsid w:val="4E727140"/>
    <w:rsid w:val="50446212"/>
    <w:rsid w:val="569F42F7"/>
    <w:rsid w:val="57092325"/>
    <w:rsid w:val="5E744166"/>
    <w:rsid w:val="613876CD"/>
    <w:rsid w:val="65896749"/>
    <w:rsid w:val="66391F1D"/>
    <w:rsid w:val="6E7D0E15"/>
    <w:rsid w:val="711F61B4"/>
    <w:rsid w:val="7219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9294</Words>
  <Characters>9510</Characters>
  <Lines>0</Lines>
  <Paragraphs>0</Paragraphs>
  <TotalTime>0</TotalTime>
  <ScaleCrop>false</ScaleCrop>
  <LinksUpToDate>false</LinksUpToDate>
  <CharactersWithSpaces>9670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2025-12-15T02:41:00Z</dcterms:created>
  <dc:creator>？？？</dc:creator>
  <cp:lastModifiedBy>？？？</cp:lastModifiedBy>
  <dcterms:modified xsi:type="dcterms:W3CDTF">2025-12-25T09:04:45Z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FA88D7BCE1784207B225DD0F1F51D0BC_13</vt:lpwstr>
  </property>
  <property fmtid="{D5CDD505-2E9C-101B-9397-08002B2CF9AE}" pid="4" name="KSOTemplateDocerSaveRecord">
    <vt:lpwstr>eyJoZGlkIjoiMDM0MGYxNmUxNGQ3MTNiM2QxOTBjMWNiYmVkNTY2ZTMiLCJ1c2VySWQiOiIxNzIxNDMxMzQ3In0=</vt:lpwstr>
  </property>
</Properties>
</file>