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jc w:val="center"/>
      </w:pPr>
      <w:r>
        <w:drawing>
          <wp:inline xmlns:a="http://schemas.openxmlformats.org/drawingml/2006/main" xmlns:pic="http://schemas.openxmlformats.org/drawingml/2006/picture">
            <wp:extent cx="5303520" cy="1133278"/>
            <wp:docPr id="1" name="Picture 1" descr="Logotipo oficial de Ruta Didáctica"/>
            <wp:cNvGraphicFramePr>
              <a:graphicFrameLocks noChangeAspect="1"/>
            </wp:cNvGraphicFramePr>
            <a:graphic>
              <a:graphicData uri="http://schemas.openxmlformats.org/drawingml/2006/picture">
                <pic:pic>
                  <pic:nvPicPr>
                    <pic:cNvPr id="0" name="Logo_Ruta_Didactica_recortado.png"/>
                    <pic:cNvPicPr/>
                  </pic:nvPicPr>
                  <pic:blipFill>
                    <a:blip r:embed="rId11"/>
                    <a:stretch>
                      <a:fillRect/>
                    </a:stretch>
                  </pic:blipFill>
                  <pic:spPr>
                    <a:xfrm>
                      <a:off x="0" y="0"/>
                      <a:ext cx="5303520" cy="1133278"/>
                    </a:xfrm>
                    <a:prstGeom prst="rect"/>
                  </pic:spPr>
                </pic:pic>
              </a:graphicData>
            </a:graphic>
          </wp:inline>
        </w:drawing>
      </w:r>
    </w:p>
    <w:p>
      <w:pPr>
        <w:spacing w:before="160" w:after="80"/>
        <w:jc w:val="center"/>
      </w:pPr>
      <w:r>
        <w:rPr>
          <w:rFonts w:ascii="Aptos Display" w:hAnsi="Aptos Display" w:eastAsia="Aptos Display"/>
          <w:b/>
          <w:color w:val="0E2F66"/>
          <w:sz w:val="45"/>
        </w:rPr>
        <w:t>ESTRUCTURA COMERCIAL Y</w:t>
        <w:br/>
        <w:t>SISTEMA DE VENTA</w:t>
      </w:r>
    </w:p>
    <w:p>
      <w:pPr>
        <w:spacing w:after="220"/>
        <w:jc w:val="center"/>
      </w:pPr>
      <w:r>
        <w:rPr>
          <w:rFonts w:ascii="Aptos" w:hAnsi="Aptos" w:eastAsia="Aptos"/>
          <w:b/>
          <w:color w:val="00B7C3"/>
          <w:sz w:val="22"/>
        </w:rPr>
        <w:t>Paquetes, coberturas, precios y reglas de acceso · Ciclo escolar 2026-2027</w:t>
      </w:r>
    </w:p>
    <w:tbl>
      <w:tblPr>
        <w:tblW w:type="dxa" w:w="9412"/>
        <w:jc w:val="center"/>
        <w:tblLayout w:type="fixed"/>
        <w:tblLook w:firstColumn="1" w:firstRow="1" w:lastColumn="0" w:lastRow="0" w:noHBand="0" w:noVBand="1" w:val="04A0"/>
      </w:tblPr>
      <w:tblGrid>
        <w:gridCol w:w="142"/>
        <w:gridCol w:w="9270"/>
      </w:tblGrid>
      <w:tr>
        <w:tc>
          <w:tcPr>
            <w:tcW w:type="dxa" w:w="142"/>
            <w:shd w:fill="00B7C3"/>
            <w:tcBorders>
              <w:top w:val="nil"/>
              <w:left w:val="nil"/>
              <w:bottom w:val="nil"/>
              <w:right w:val="nil"/>
            </w:tcBorders>
            <w:tcMar>
              <w:top w:w="0" w:type="dxa"/>
              <w:start w:w="0" w:type="dxa"/>
              <w:bottom w:w="0" w:type="dxa"/>
              <w:end w:w="0" w:type="dxa"/>
            </w:tcMar>
          </w:tcPr>
          <w:p/>
        </w:tc>
        <w:tc>
          <w:tcPr>
            <w:tcW w:type="dxa" w:w="9270"/>
            <w:shd w:fill="EAFBFB"/>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Principio comercial</w:t>
            </w:r>
          </w:p>
          <w:p>
            <w:pPr>
              <w:spacing w:after="0" w:line="252" w:lineRule="auto"/>
            </w:pPr>
            <w:r>
              <w:rPr>
                <w:rFonts w:ascii="Aptos" w:hAnsi="Aptos" w:eastAsia="Aptos"/>
                <w:color w:val="24344B"/>
                <w:sz w:val="19"/>
              </w:rPr>
              <w:t>Cada compra debe mantener una relación justa entre la duración del periodo, la cantidad de recursos incluidos y el precio. Los tramos cortos se integran en paquetes mayores sin perder su venta quincenal ni su identidad como archivo.</w:t>
            </w:r>
          </w:p>
        </w:tc>
      </w:tr>
    </w:tbl>
    <w:p>
      <w:pPr>
        <w:spacing w:after="0"/>
      </w:pPr>
    </w:p>
    <w:tbl>
      <w:tblPr>
        <w:tblW w:type="dxa" w:w="9412"/>
        <w:jc w:val="center"/>
        <w:tblLayout w:type="fixed"/>
        <w:tblLook w:firstColumn="1" w:firstRow="1" w:lastColumn="0" w:lastRow="0" w:noHBand="0" w:noVBand="1" w:val="04A0"/>
      </w:tblPr>
      <w:tblGrid>
        <w:gridCol w:w="2353"/>
        <w:gridCol w:w="2353"/>
        <w:gridCol w:w="2353"/>
        <w:gridCol w:w="2353"/>
      </w:tblGrid>
      <w:tr>
        <w:tc>
          <w:tcPr>
            <w:tcW w:type="dxa" w:w="2353"/>
            <w:shd w:fill="EAFBFB"/>
            <w:tcBorders>
              <w:top w:val="single" w:sz="7" w:space="0" w:color="00B7C3"/>
              <w:left w:val="single" w:sz="7" w:space="0" w:color="00B7C3"/>
              <w:bottom w:val="single" w:sz="7" w:space="0" w:color="00B7C3"/>
              <w:right w:val="single" w:sz="7" w:space="0" w:color="00B7C3"/>
            </w:tcBorders>
            <w:tcMar>
              <w:top w:w="110" w:type="dxa"/>
              <w:start w:w="90" w:type="dxa"/>
              <w:bottom w:w="105" w:type="dxa"/>
              <w:end w:w="90" w:type="dxa"/>
            </w:tcMar>
          </w:tcPr>
          <w:p>
            <w:pPr>
              <w:spacing w:after="20"/>
              <w:jc w:val="center"/>
            </w:pPr>
            <w:r>
              <w:rPr>
                <w:rFonts w:ascii="Aptos Display" w:hAnsi="Aptos Display" w:eastAsia="Aptos Display"/>
                <w:b/>
                <w:color w:val="0E2F66"/>
                <w:sz w:val="30"/>
              </w:rPr>
              <w:t>4</w:t>
            </w:r>
          </w:p>
          <w:p>
            <w:pPr>
              <w:spacing w:after="0"/>
              <w:jc w:val="center"/>
            </w:pPr>
            <w:r>
              <w:rPr>
                <w:rFonts w:ascii="Aptos" w:hAnsi="Aptos" w:eastAsia="Aptos"/>
                <w:color w:val="687386"/>
                <w:sz w:val="16"/>
              </w:rPr>
              <w:t>rutas comerciales</w:t>
            </w:r>
          </w:p>
        </w:tc>
        <w:tc>
          <w:tcPr>
            <w:tcW w:type="dxa" w:w="2353"/>
            <w:shd w:fill="EDF7FD"/>
            <w:tcBorders>
              <w:top w:val="single" w:sz="7" w:space="0" w:color="5DB3F0"/>
              <w:left w:val="single" w:sz="7" w:space="0" w:color="5DB3F0"/>
              <w:bottom w:val="single" w:sz="7" w:space="0" w:color="5DB3F0"/>
              <w:right w:val="single" w:sz="7" w:space="0" w:color="5DB3F0"/>
            </w:tcBorders>
            <w:tcMar>
              <w:top w:w="110" w:type="dxa"/>
              <w:start w:w="90" w:type="dxa"/>
              <w:bottom w:w="105" w:type="dxa"/>
              <w:end w:w="90" w:type="dxa"/>
            </w:tcMar>
          </w:tcPr>
          <w:p>
            <w:pPr>
              <w:spacing w:after="20"/>
              <w:jc w:val="center"/>
            </w:pPr>
            <w:r>
              <w:rPr>
                <w:rFonts w:ascii="Aptos Display" w:hAnsi="Aptos Display" w:eastAsia="Aptos Display"/>
                <w:b/>
                <w:color w:val="0E2F66"/>
                <w:sz w:val="30"/>
              </w:rPr>
              <w:t>4</w:t>
            </w:r>
          </w:p>
          <w:p>
            <w:pPr>
              <w:spacing w:after="0"/>
              <w:jc w:val="center"/>
            </w:pPr>
            <w:r>
              <w:rPr>
                <w:rFonts w:ascii="Aptos" w:hAnsi="Aptos" w:eastAsia="Aptos"/>
                <w:color w:val="687386"/>
                <w:sz w:val="16"/>
              </w:rPr>
              <w:t>coberturas principales</w:t>
            </w:r>
          </w:p>
        </w:tc>
        <w:tc>
          <w:tcPr>
            <w:tcW w:type="dxa" w:w="2353"/>
            <w:shd w:fill="F4EFFC"/>
            <w:tcBorders>
              <w:top w:val="single" w:sz="7" w:space="0" w:color="6F3CCB"/>
              <w:left w:val="single" w:sz="7" w:space="0" w:color="6F3CCB"/>
              <w:bottom w:val="single" w:sz="7" w:space="0" w:color="6F3CCB"/>
              <w:right w:val="single" w:sz="7" w:space="0" w:color="6F3CCB"/>
            </w:tcBorders>
            <w:tcMar>
              <w:top w:w="110" w:type="dxa"/>
              <w:start w:w="90" w:type="dxa"/>
              <w:bottom w:w="105" w:type="dxa"/>
              <w:end w:w="90" w:type="dxa"/>
            </w:tcMar>
          </w:tcPr>
          <w:p>
            <w:pPr>
              <w:spacing w:after="20"/>
              <w:jc w:val="center"/>
            </w:pPr>
            <w:r>
              <w:rPr>
                <w:rFonts w:ascii="Aptos Display" w:hAnsi="Aptos Display" w:eastAsia="Aptos Display"/>
                <w:b/>
                <w:color w:val="0E2F66"/>
                <w:sz w:val="30"/>
              </w:rPr>
              <w:t>19 + 1</w:t>
            </w:r>
          </w:p>
          <w:p>
            <w:pPr>
              <w:spacing w:after="0"/>
              <w:jc w:val="center"/>
            </w:pPr>
            <w:r>
              <w:rPr>
                <w:rFonts w:ascii="Aptos" w:hAnsi="Aptos" w:eastAsia="Aptos"/>
                <w:color w:val="687386"/>
                <w:sz w:val="16"/>
              </w:rPr>
              <w:t>quincenas y cierre anual</w:t>
            </w:r>
          </w:p>
        </w:tc>
        <w:tc>
          <w:tcPr>
            <w:tcW w:type="dxa" w:w="2353"/>
            <w:shd w:fill="FDF0ED"/>
            <w:tcBorders>
              <w:top w:val="single" w:sz="7" w:space="0" w:color="E97867"/>
              <w:left w:val="single" w:sz="7" w:space="0" w:color="E97867"/>
              <w:bottom w:val="single" w:sz="7" w:space="0" w:color="E97867"/>
              <w:right w:val="single" w:sz="7" w:space="0" w:color="E97867"/>
            </w:tcBorders>
            <w:tcMar>
              <w:top w:w="110" w:type="dxa"/>
              <w:start w:w="90" w:type="dxa"/>
              <w:bottom w:w="105" w:type="dxa"/>
              <w:end w:w="90" w:type="dxa"/>
            </w:tcMar>
          </w:tcPr>
          <w:p>
            <w:pPr>
              <w:spacing w:after="20"/>
              <w:jc w:val="center"/>
            </w:pPr>
            <w:r>
              <w:rPr>
                <w:rFonts w:ascii="Aptos Display" w:hAnsi="Aptos Display" w:eastAsia="Aptos Display"/>
                <w:b/>
                <w:color w:val="0E2F66"/>
                <w:sz w:val="30"/>
              </w:rPr>
              <w:t>185</w:t>
            </w:r>
          </w:p>
          <w:p>
            <w:pPr>
              <w:spacing w:after="0"/>
              <w:jc w:val="center"/>
            </w:pPr>
            <w:r>
              <w:rPr>
                <w:rFonts w:ascii="Aptos" w:hAnsi="Aptos" w:eastAsia="Aptos"/>
                <w:color w:val="687386"/>
                <w:sz w:val="16"/>
              </w:rPr>
              <w:t>jornadas efectivas</w:t>
            </w:r>
          </w:p>
        </w:tc>
      </w:tr>
    </w:tbl>
    <w:p>
      <w:pPr>
        <w:spacing w:before="360" w:after="40"/>
        <w:jc w:val="center"/>
      </w:pPr>
      <w:r>
        <w:rPr>
          <w:rFonts w:ascii="Aptos" w:hAnsi="Aptos" w:eastAsia="Aptos"/>
          <w:color w:val="687386"/>
          <w:sz w:val="18"/>
        </w:rPr>
        <w:t>Ruta Didáctica · 2026-2027</w:t>
      </w:r>
    </w:p>
    <w:p>
      <w:pPr>
        <w:jc w:val="center"/>
      </w:pPr>
      <w:r>
        <w:rPr>
          <w:rFonts w:ascii="Aptos" w:hAnsi="Aptos" w:eastAsia="Aptos"/>
          <w:b/>
          <w:i/>
          <w:color w:val="0E2F66"/>
          <w:sz w:val="21"/>
        </w:rPr>
        <w:t>Cada aprendizaje tiene su camino.</w:t>
      </w:r>
    </w:p>
    <w:p>
      <w:r>
        <w:br w:type="page"/>
      </w:r>
    </w:p>
    <w:p>
      <w:pPr>
        <w:keepNext/>
        <w:spacing w:before="40" w:after="80"/>
        <w:pBdr>
          <w:bottom w:val="single" w:sz="10" w:space="4" w:color="5DB3F0"/>
        </w:pBdr>
      </w:pPr>
      <w:r>
        <w:rPr>
          <w:rFonts w:ascii="Aptos Display" w:hAnsi="Aptos Display" w:eastAsia="Aptos Display"/>
          <w:b/>
          <w:color w:val="00B7C3"/>
          <w:sz w:val="30"/>
        </w:rPr>
        <w:t xml:space="preserve">1  </w:t>
      </w:r>
      <w:r>
        <w:rPr>
          <w:rFonts w:ascii="Aptos Display" w:hAnsi="Aptos Display" w:eastAsia="Aptos Display"/>
          <w:b/>
          <w:color w:val="0E2F66"/>
          <w:sz w:val="32"/>
        </w:rPr>
        <w:t>Modelo comercial</w:t>
      </w:r>
    </w:p>
    <w:p>
      <w:pPr>
        <w:spacing w:after="140"/>
      </w:pPr>
      <w:r>
        <w:rPr>
          <w:rFonts w:ascii="Aptos" w:hAnsi="Aptos" w:eastAsia="Aptos"/>
          <w:i/>
          <w:color w:val="687386"/>
          <w:sz w:val="18"/>
        </w:rPr>
        <w:t>La oferta se organiza por grado, periodo y nivel de acompañamiento.</w:t>
      </w:r>
    </w:p>
    <w:p>
      <w:pPr>
        <w:spacing w:before="0" w:after="140" w:line="259" w:lineRule="auto"/>
      </w:pPr>
      <w:r>
        <w:rPr>
          <w:rFonts w:ascii="Aptos" w:hAnsi="Aptos" w:eastAsia="Aptos"/>
          <w:color w:val="24344B"/>
          <w:sz w:val="20"/>
        </w:rPr>
        <w:t>Ruta Didáctica permite elegir una cobertura temporal y una ruta de recursos. Toda compra corresponde a un solo grado y a una licencia docente individual. El producto se entrega mediante archivos organizados por quincena, mes, trimestre y ciclo completo.</w:t>
      </w:r>
    </w:p>
    <w:tbl>
      <w:tblPr>
        <w:tblW w:type="dxa" w:w="9412"/>
        <w:jc w:val="center"/>
        <w:tblLayout w:type="fixed"/>
        <w:tblLook w:firstColumn="1" w:firstRow="1" w:lastColumn="0" w:lastRow="0" w:noHBand="0" w:noVBand="1" w:val="04A0"/>
      </w:tblPr>
      <w:tblGrid>
        <w:gridCol w:w="2155"/>
        <w:gridCol w:w="3515"/>
        <w:gridCol w:w="3742"/>
      </w:tblGrid>
      <w:tr>
        <w:trPr>
          <w:cantSplit/>
          <w:tblHeader w:val="true"/>
        </w:trPr>
        <w:tc>
          <w:tcPr>
            <w:tcW w:type="dxa" w:w="215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Decisión de compra</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Opciones disponibles</w:t>
            </w:r>
          </w:p>
        </w:tc>
        <w:tc>
          <w:tcPr>
            <w:tcW w:type="dxa" w:w="374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Qué determina</w:t>
            </w:r>
          </w:p>
        </w:tc>
      </w:tr>
      <w:tr>
        <w:trPr>
          <w:cantSplit/>
        </w:trPr>
        <w:tc>
          <w:tcPr>
            <w:tcW w:type="dxa" w:w="215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Grado</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Primero a sexto de primaria</w:t>
            </w:r>
          </w:p>
        </w:tc>
        <w:tc>
          <w:tcPr>
            <w:tcW w:type="dxa" w:w="374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Los contenidos y archivos que se habilitan</w:t>
            </w:r>
          </w:p>
        </w:tc>
      </w:tr>
      <w:tr>
        <w:trPr>
          <w:cantSplit/>
        </w:trPr>
        <w:tc>
          <w:tcPr>
            <w:tcW w:type="dxa" w:w="215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Cobertura</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Quincena, mes, trimestre o ciclo completo</w:t>
            </w:r>
          </w:p>
        </w:tc>
        <w:tc>
          <w:tcPr>
            <w:tcW w:type="dxa" w:w="374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El periodo y la cantidad de jornadas</w:t>
            </w:r>
          </w:p>
        </w:tc>
      </w:tr>
      <w:tr>
        <w:trPr>
          <w:cantSplit/>
        </w:trPr>
        <w:tc>
          <w:tcPr>
            <w:tcW w:type="dxa" w:w="215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Ruta</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Base, Visual, Seguimiento o Integral</w:t>
            </w:r>
          </w:p>
        </w:tc>
        <w:tc>
          <w:tcPr>
            <w:tcW w:type="dxa" w:w="374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La combinación de recursos</w:t>
            </w:r>
          </w:p>
        </w:tc>
      </w:tr>
    </w:tbl>
    <w:p>
      <w:pPr>
        <w:keepNext/>
        <w:spacing w:before="120" w:after="60"/>
      </w:pPr>
      <w:r>
        <w:rPr>
          <w:rFonts w:ascii="Aptos Display" w:hAnsi="Aptos Display" w:eastAsia="Aptos Display"/>
          <w:b/>
          <w:color w:val="0E2F66"/>
          <w:sz w:val="22"/>
        </w:rPr>
        <w:t>Reglas generales</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La compra se realiza por grado; otro grado representa una compra distinta.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El precio corresponde al bloque pedagógico completo, no a una tarifa diaria.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Una compra puede habilitar más de un archivo cuando un periodo corto se integra en un paquete mayor.</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Los nombres y códigos de los archivos permanecen sin modificaciones.</w:t>
      </w:r>
    </w:p>
    <w:tbl>
      <w:tblPr>
        <w:tblW w:type="dxa" w:w="9412"/>
        <w:jc w:val="center"/>
        <w:tblLayout w:type="fixed"/>
        <w:tblLook w:firstColumn="1" w:firstRow="1" w:lastColumn="0" w:lastRow="0" w:noHBand="0" w:noVBand="1" w:val="04A0"/>
      </w:tblPr>
      <w:tblGrid>
        <w:gridCol w:w="142"/>
        <w:gridCol w:w="9270"/>
      </w:tblGrid>
      <w:tr>
        <w:tc>
          <w:tcPr>
            <w:tcW w:type="dxa" w:w="142"/>
            <w:shd w:fill="6F3CCB"/>
            <w:tcBorders>
              <w:top w:val="nil"/>
              <w:left w:val="nil"/>
              <w:bottom w:val="nil"/>
              <w:right w:val="nil"/>
            </w:tcBorders>
            <w:tcMar>
              <w:top w:w="0" w:type="dxa"/>
              <w:start w:w="0" w:type="dxa"/>
              <w:bottom w:w="0" w:type="dxa"/>
              <w:end w:w="0" w:type="dxa"/>
            </w:tcMar>
          </w:tcPr>
          <w:p/>
        </w:tc>
        <w:tc>
          <w:tcPr>
            <w:tcW w:type="dxa" w:w="9270"/>
            <w:shd w:fill="F4EFFC"/>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Relación entre archivo y compra</w:t>
            </w:r>
          </w:p>
          <w:p>
            <w:pPr>
              <w:spacing w:after="0" w:line="252" w:lineRule="auto"/>
            </w:pPr>
            <w:r>
              <w:rPr>
                <w:rFonts w:ascii="Aptos" w:hAnsi="Aptos" w:eastAsia="Aptos"/>
                <w:color w:val="24344B"/>
                <w:sz w:val="19"/>
              </w:rPr>
              <w:t>Los archivos se conservan como unidades independientes en la biblioteca. La unidad comercial es el paquete que el cliente elige y puede incluir uno o varios archivos.</w:t>
            </w:r>
          </w:p>
        </w:tc>
      </w:tr>
    </w:tbl>
    <w:p>
      <w:pPr>
        <w:spacing w:after="0"/>
      </w:pPr>
    </w:p>
    <w:p>
      <w:pPr>
        <w:keepNext/>
        <w:spacing w:before="120" w:after="60"/>
      </w:pPr>
      <w:r>
        <w:rPr>
          <w:rFonts w:ascii="Aptos Display" w:hAnsi="Aptos Display" w:eastAsia="Aptos Display"/>
          <w:b/>
          <w:color w:val="0E2F66"/>
          <w:sz w:val="22"/>
        </w:rPr>
        <w:t>Coberturas disponibles</w:t>
      </w:r>
    </w:p>
    <w:tbl>
      <w:tblPr>
        <w:tblW w:type="dxa" w:w="9412"/>
        <w:jc w:val="center"/>
        <w:tblLayout w:type="fixed"/>
        <w:tblLook w:firstColumn="1" w:firstRow="1" w:lastColumn="0" w:lastRow="0" w:noHBand="0" w:noVBand="1" w:val="04A0"/>
      </w:tblPr>
      <w:tblGrid>
        <w:gridCol w:w="2268"/>
        <w:gridCol w:w="7144"/>
      </w:tblGrid>
      <w:tr>
        <w:trPr>
          <w:cantSplit/>
          <w:tblHeader w:val="true"/>
        </w:trPr>
        <w:tc>
          <w:tcPr>
            <w:tcW w:type="dxa" w:w="226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Cobertura</w:t>
            </w:r>
          </w:p>
        </w:tc>
        <w:tc>
          <w:tcPr>
            <w:tcW w:type="dxa" w:w="714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Alcance</w:t>
            </w:r>
          </w:p>
        </w:tc>
      </w:tr>
      <w:tr>
        <w:trPr>
          <w:cantSplit/>
        </w:trPr>
        <w:tc>
          <w:tcPr>
            <w:tcW w:type="dxa" w:w="226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Quincena</w:t>
            </w:r>
          </w:p>
        </w:tc>
        <w:tc>
          <w:tcPr>
            <w:tcW w:type="dxa" w:w="714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Un bloque calendarizado de 7 a 10 jornadas efectivas.</w:t>
            </w:r>
          </w:p>
        </w:tc>
      </w:tr>
      <w:tr>
        <w:trPr>
          <w:cantSplit/>
        </w:trPr>
        <w:tc>
          <w:tcPr>
            <w:tcW w:type="dxa" w:w="226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Mes</w:t>
            </w:r>
          </w:p>
        </w:tc>
        <w:tc>
          <w:tcPr>
            <w:tcW w:type="dxa" w:w="714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Dos quincenas consecutivas; puede incluir un tramo corto adicional cuando corresponda.</w:t>
            </w:r>
          </w:p>
        </w:tc>
      </w:tr>
      <w:tr>
        <w:trPr>
          <w:cantSplit/>
        </w:trPr>
        <w:tc>
          <w:tcPr>
            <w:tcW w:type="dxa" w:w="226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Trimestre</w:t>
            </w:r>
          </w:p>
        </w:tc>
        <w:tc>
          <w:tcPr>
            <w:tcW w:type="dxa" w:w="714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Todas las quincenas del trimestre seleccionado.</w:t>
            </w:r>
          </w:p>
        </w:tc>
      </w:tr>
      <w:tr>
        <w:trPr>
          <w:cantSplit/>
        </w:trPr>
        <w:tc>
          <w:tcPr>
            <w:tcW w:type="dxa" w:w="226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Ciclo completo</w:t>
            </w:r>
          </w:p>
        </w:tc>
        <w:tc>
          <w:tcPr>
            <w:tcW w:type="dxa" w:w="714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Los tres trimestres y el bloque de cierre anual.</w:t>
            </w:r>
          </w:p>
        </w:tc>
      </w:tr>
    </w:tbl>
    <w:p>
      <w:r>
        <w:br w:type="page"/>
      </w:r>
    </w:p>
    <w:p>
      <w:pPr>
        <w:keepNext/>
        <w:spacing w:before="40" w:after="80"/>
        <w:pBdr>
          <w:bottom w:val="single" w:sz="10" w:space="4" w:color="5DB3F0"/>
        </w:pBdr>
      </w:pPr>
      <w:r>
        <w:rPr>
          <w:rFonts w:ascii="Aptos Display" w:hAnsi="Aptos Display" w:eastAsia="Aptos Display"/>
          <w:b/>
          <w:color w:val="00B7C3"/>
          <w:sz w:val="30"/>
        </w:rPr>
        <w:t xml:space="preserve">2  </w:t>
      </w:r>
      <w:r>
        <w:rPr>
          <w:rFonts w:ascii="Aptos Display" w:hAnsi="Aptos Display" w:eastAsia="Aptos Display"/>
          <w:b/>
          <w:color w:val="0E2F66"/>
          <w:sz w:val="32"/>
        </w:rPr>
        <w:t>Rutas comerciales</w:t>
      </w:r>
    </w:p>
    <w:p>
      <w:pPr>
        <w:spacing w:after="140"/>
      </w:pPr>
      <w:r>
        <w:rPr>
          <w:rFonts w:ascii="Aptos" w:hAnsi="Aptos" w:eastAsia="Aptos"/>
          <w:i/>
          <w:color w:val="687386"/>
          <w:sz w:val="18"/>
        </w:rPr>
        <w:t>Cada ruta aumenta el nivel de acompañamiento sin modificar la cobertura temporal.</w:t>
      </w:r>
    </w:p>
    <w:tbl>
      <w:tblPr>
        <w:tblW w:type="dxa" w:w="9412"/>
        <w:jc w:val="center"/>
        <w:tblLayout w:type="fixed"/>
        <w:tblLook w:firstColumn="1" w:firstRow="1" w:lastColumn="0" w:lastRow="0" w:noHBand="0" w:noVBand="1" w:val="04A0"/>
      </w:tblPr>
      <w:tblGrid>
        <w:gridCol w:w="4706"/>
        <w:gridCol w:w="4706"/>
      </w:tblGrid>
      <w:tr>
        <w:tc>
          <w:tcPr>
            <w:tcW w:type="dxa" w:w="4706"/>
            <w:shd w:fill="EDF7FD"/>
            <w:tcBorders>
              <w:top w:val="single" w:sz="7" w:space="0" w:color="5DB3F0"/>
              <w:left w:val="single" w:sz="7" w:space="0" w:color="5DB3F0"/>
              <w:bottom w:val="single" w:sz="7" w:space="0" w:color="5DB3F0"/>
              <w:right w:val="single" w:sz="7" w:space="0" w:color="5DB3F0"/>
            </w:tcBorders>
            <w:tcMar>
              <w:top w:w="125" w:type="dxa"/>
              <w:start w:w="145" w:type="dxa"/>
              <w:bottom w:w="120" w:type="dxa"/>
              <w:end w:w="145" w:type="dxa"/>
            </w:tcMar>
          </w:tcPr>
          <w:p>
            <w:pPr>
              <w:spacing w:after="0"/>
            </w:pPr>
            <w:r>
              <w:rPr>
                <w:rFonts w:ascii="Aptos Display" w:hAnsi="Aptos Display" w:eastAsia="Aptos Display"/>
                <w:b/>
                <w:color w:val="0E2F66"/>
                <w:sz w:val="23"/>
              </w:rPr>
              <w:t>RUTA BASE</w:t>
            </w:r>
          </w:p>
          <w:p>
            <w:pPr>
              <w:spacing w:after="80"/>
            </w:pPr>
            <w:r>
              <w:rPr>
                <w:rFonts w:ascii="Aptos" w:hAnsi="Aptos" w:eastAsia="Aptos"/>
                <w:b/>
                <w:color w:val="5DB3F0"/>
                <w:sz w:val="16"/>
              </w:rPr>
              <w:t>Esencial</w:t>
            </w:r>
          </w:p>
          <w:p>
            <w:pPr>
              <w:spacing w:after="40"/>
              <w:ind w:left="193" w:hanging="125"/>
            </w:pPr>
            <w:r>
              <w:rPr>
                <w:rFonts w:ascii="Aptos" w:hAnsi="Aptos" w:eastAsia="Aptos"/>
                <w:b/>
                <w:color w:val="5DB3F0"/>
                <w:sz w:val="17"/>
              </w:rPr>
              <w:t xml:space="preserve">• </w:t>
            </w:r>
            <w:r>
              <w:rPr>
                <w:rFonts w:ascii="Aptos" w:hAnsi="Aptos" w:eastAsia="Aptos"/>
                <w:color w:val="24344B"/>
                <w:sz w:val="17"/>
              </w:rPr>
              <w:t>Planeación del periodo</w:t>
            </w:r>
          </w:p>
          <w:p>
            <w:pPr>
              <w:spacing w:after="40"/>
              <w:ind w:left="193" w:hanging="125"/>
            </w:pPr>
            <w:r>
              <w:rPr>
                <w:rFonts w:ascii="Aptos" w:hAnsi="Aptos" w:eastAsia="Aptos"/>
                <w:b/>
                <w:color w:val="5DB3F0"/>
                <w:sz w:val="17"/>
              </w:rPr>
              <w:t xml:space="preserve">• </w:t>
            </w:r>
            <w:r>
              <w:rPr>
                <w:rFonts w:ascii="Aptos" w:hAnsi="Aptos" w:eastAsia="Aptos"/>
                <w:color w:val="24344B"/>
                <w:sz w:val="17"/>
              </w:rPr>
              <w:t>Fichas didácticas</w:t>
            </w:r>
          </w:p>
          <w:p>
            <w:pPr>
              <w:spacing w:after="40"/>
              <w:ind w:left="193" w:hanging="125"/>
            </w:pPr>
            <w:r>
              <w:rPr>
                <w:rFonts w:ascii="Aptos" w:hAnsi="Aptos" w:eastAsia="Aptos"/>
                <w:b/>
                <w:color w:val="5DB3F0"/>
                <w:sz w:val="17"/>
              </w:rPr>
              <w:t xml:space="preserve">• </w:t>
            </w:r>
            <w:r>
              <w:rPr>
                <w:rFonts w:ascii="Aptos" w:hAnsi="Aptos" w:eastAsia="Aptos"/>
                <w:color w:val="24344B"/>
                <w:sz w:val="17"/>
              </w:rPr>
              <w:t>Actividades permanentes, recortables y evidencias</w:t>
            </w:r>
          </w:p>
        </w:tc>
        <w:tc>
          <w:tcPr>
            <w:tcW w:type="dxa" w:w="4706"/>
            <w:shd w:fill="EAFBFB"/>
            <w:tcBorders>
              <w:top w:val="single" w:sz="7" w:space="0" w:color="00B7C3"/>
              <w:left w:val="single" w:sz="7" w:space="0" w:color="00B7C3"/>
              <w:bottom w:val="single" w:sz="7" w:space="0" w:color="00B7C3"/>
              <w:right w:val="single" w:sz="7" w:space="0" w:color="00B7C3"/>
            </w:tcBorders>
            <w:tcMar>
              <w:top w:w="125" w:type="dxa"/>
              <w:start w:w="145" w:type="dxa"/>
              <w:bottom w:w="120" w:type="dxa"/>
              <w:end w:w="145" w:type="dxa"/>
            </w:tcMar>
          </w:tcPr>
          <w:p>
            <w:pPr>
              <w:spacing w:after="0"/>
            </w:pPr>
            <w:r>
              <w:rPr>
                <w:rFonts w:ascii="Aptos Display" w:hAnsi="Aptos Display" w:eastAsia="Aptos Display"/>
                <w:b/>
                <w:color w:val="0E2F66"/>
                <w:sz w:val="23"/>
              </w:rPr>
              <w:t>RUTA VISUAL</w:t>
            </w:r>
          </w:p>
          <w:p>
            <w:pPr>
              <w:spacing w:after="80"/>
            </w:pPr>
            <w:r>
              <w:rPr>
                <w:rFonts w:ascii="Aptos" w:hAnsi="Aptos" w:eastAsia="Aptos"/>
                <w:b/>
                <w:color w:val="00B7C3"/>
                <w:sz w:val="16"/>
              </w:rPr>
              <w:t>Recomendada</w:t>
            </w:r>
          </w:p>
          <w:p>
            <w:pPr>
              <w:spacing w:after="40"/>
              <w:ind w:left="193" w:hanging="125"/>
            </w:pPr>
            <w:r>
              <w:rPr>
                <w:rFonts w:ascii="Aptos" w:hAnsi="Aptos" w:eastAsia="Aptos"/>
                <w:b/>
                <w:color w:val="00B7C3"/>
                <w:sz w:val="17"/>
              </w:rPr>
              <w:t xml:space="preserve">• </w:t>
            </w:r>
            <w:r>
              <w:rPr>
                <w:rFonts w:ascii="Aptos" w:hAnsi="Aptos" w:eastAsia="Aptos"/>
                <w:color w:val="24344B"/>
                <w:sz w:val="17"/>
              </w:rPr>
              <w:t>Todo lo de Ruta Base</w:t>
            </w:r>
          </w:p>
          <w:p>
            <w:pPr>
              <w:spacing w:after="40"/>
              <w:ind w:left="193" w:hanging="125"/>
            </w:pPr>
            <w:r>
              <w:rPr>
                <w:rFonts w:ascii="Aptos" w:hAnsi="Aptos" w:eastAsia="Aptos"/>
                <w:b/>
                <w:color w:val="00B7C3"/>
                <w:sz w:val="17"/>
              </w:rPr>
              <w:t xml:space="preserve">• </w:t>
            </w:r>
            <w:r>
              <w:rPr>
                <w:rFonts w:ascii="Aptos" w:hAnsi="Aptos" w:eastAsia="Aptos"/>
                <w:color w:val="24344B"/>
                <w:sz w:val="17"/>
              </w:rPr>
              <w:t>Diapositivas de apoyo visual</w:t>
            </w:r>
          </w:p>
          <w:p>
            <w:pPr>
              <w:spacing w:after="40"/>
              <w:ind w:left="193" w:hanging="125"/>
            </w:pPr>
            <w:r>
              <w:rPr>
                <w:rFonts w:ascii="Aptos" w:hAnsi="Aptos" w:eastAsia="Aptos"/>
                <w:b/>
                <w:color w:val="00B7C3"/>
                <w:sz w:val="17"/>
              </w:rPr>
              <w:t xml:space="preserve">• </w:t>
            </w:r>
            <w:r>
              <w:rPr>
                <w:rFonts w:ascii="Aptos" w:hAnsi="Aptos" w:eastAsia="Aptos"/>
                <w:color w:val="24344B"/>
                <w:sz w:val="17"/>
              </w:rPr>
              <w:t>Acompañamiento organizado por jornada</w:t>
            </w:r>
          </w:p>
        </w:tc>
      </w:tr>
      <w:tr>
        <w:tc>
          <w:tcPr>
            <w:tcW w:type="dxa" w:w="4706"/>
            <w:shd w:fill="FDF0ED"/>
            <w:tcBorders>
              <w:top w:val="single" w:sz="7" w:space="0" w:color="E97867"/>
              <w:left w:val="single" w:sz="7" w:space="0" w:color="E97867"/>
              <w:bottom w:val="single" w:sz="7" w:space="0" w:color="E97867"/>
              <w:right w:val="single" w:sz="7" w:space="0" w:color="E97867"/>
            </w:tcBorders>
            <w:tcMar>
              <w:top w:w="125" w:type="dxa"/>
              <w:start w:w="145" w:type="dxa"/>
              <w:bottom w:w="120" w:type="dxa"/>
              <w:end w:w="145" w:type="dxa"/>
            </w:tcMar>
          </w:tcPr>
          <w:p>
            <w:pPr>
              <w:spacing w:after="0"/>
            </w:pPr>
            <w:r>
              <w:rPr>
                <w:rFonts w:ascii="Aptos Display" w:hAnsi="Aptos Display" w:eastAsia="Aptos Display"/>
                <w:b/>
                <w:color w:val="0E2F66"/>
                <w:sz w:val="23"/>
              </w:rPr>
              <w:t>RUTA SEGUIMIENTO</w:t>
            </w:r>
          </w:p>
          <w:p>
            <w:pPr>
              <w:spacing w:after="80"/>
            </w:pPr>
            <w:r>
              <w:rPr>
                <w:rFonts w:ascii="Aptos" w:hAnsi="Aptos" w:eastAsia="Aptos"/>
                <w:b/>
                <w:color w:val="E97867"/>
                <w:sz w:val="16"/>
              </w:rPr>
              <w:t>Gestión y evidencias</w:t>
            </w:r>
          </w:p>
          <w:p>
            <w:pPr>
              <w:spacing w:after="40"/>
              <w:ind w:left="193" w:hanging="125"/>
            </w:pPr>
            <w:r>
              <w:rPr>
                <w:rFonts w:ascii="Aptos" w:hAnsi="Aptos" w:eastAsia="Aptos"/>
                <w:b/>
                <w:color w:val="E97867"/>
                <w:sz w:val="17"/>
              </w:rPr>
              <w:t xml:space="preserve">• </w:t>
            </w:r>
            <w:r>
              <w:rPr>
                <w:rFonts w:ascii="Aptos" w:hAnsi="Aptos" w:eastAsia="Aptos"/>
                <w:color w:val="24344B"/>
                <w:sz w:val="17"/>
              </w:rPr>
              <w:t>Todo lo de Ruta Base</w:t>
            </w:r>
          </w:p>
          <w:p>
            <w:pPr>
              <w:spacing w:after="40"/>
              <w:ind w:left="193" w:hanging="125"/>
            </w:pPr>
            <w:r>
              <w:rPr>
                <w:rFonts w:ascii="Aptos" w:hAnsi="Aptos" w:eastAsia="Aptos"/>
                <w:b/>
                <w:color w:val="E97867"/>
                <w:sz w:val="17"/>
              </w:rPr>
              <w:t xml:space="preserve">• </w:t>
            </w:r>
            <w:r>
              <w:rPr>
                <w:rFonts w:ascii="Aptos" w:hAnsi="Aptos" w:eastAsia="Aptos"/>
                <w:color w:val="24344B"/>
                <w:sz w:val="17"/>
              </w:rPr>
              <w:t>Seguimiento pedagógico en Excel</w:t>
            </w:r>
          </w:p>
          <w:p>
            <w:pPr>
              <w:spacing w:after="40"/>
              <w:ind w:left="193" w:hanging="125"/>
            </w:pPr>
            <w:r>
              <w:rPr>
                <w:rFonts w:ascii="Aptos" w:hAnsi="Aptos" w:eastAsia="Aptos"/>
                <w:b/>
                <w:color w:val="E97867"/>
                <w:sz w:val="17"/>
              </w:rPr>
              <w:t xml:space="preserve">• </w:t>
            </w:r>
            <w:r>
              <w:rPr>
                <w:rFonts w:ascii="Aptos" w:hAnsi="Aptos" w:eastAsia="Aptos"/>
                <w:color w:val="24344B"/>
                <w:sz w:val="17"/>
              </w:rPr>
              <w:t>Promedios, gráficas y fichas descriptivas</w:t>
            </w:r>
          </w:p>
        </w:tc>
        <w:tc>
          <w:tcPr>
            <w:tcW w:type="dxa" w:w="4706"/>
            <w:shd w:fill="F4EFFC"/>
            <w:tcBorders>
              <w:top w:val="single" w:sz="7" w:space="0" w:color="6F3CCB"/>
              <w:left w:val="single" w:sz="7" w:space="0" w:color="6F3CCB"/>
              <w:bottom w:val="single" w:sz="7" w:space="0" w:color="6F3CCB"/>
              <w:right w:val="single" w:sz="7" w:space="0" w:color="6F3CCB"/>
            </w:tcBorders>
            <w:tcMar>
              <w:top w:w="125" w:type="dxa"/>
              <w:start w:w="145" w:type="dxa"/>
              <w:bottom w:w="120" w:type="dxa"/>
              <w:end w:w="145" w:type="dxa"/>
            </w:tcMar>
          </w:tcPr>
          <w:p>
            <w:pPr>
              <w:spacing w:after="0"/>
            </w:pPr>
            <w:r>
              <w:rPr>
                <w:rFonts w:ascii="Aptos Display" w:hAnsi="Aptos Display" w:eastAsia="Aptos Display"/>
                <w:b/>
                <w:color w:val="0E2F66"/>
                <w:sz w:val="23"/>
              </w:rPr>
              <w:t>RUTA INTEGRAL</w:t>
            </w:r>
          </w:p>
          <w:p>
            <w:pPr>
              <w:spacing w:after="80"/>
            </w:pPr>
            <w:r>
              <w:rPr>
                <w:rFonts w:ascii="Aptos" w:hAnsi="Aptos" w:eastAsia="Aptos"/>
                <w:b/>
                <w:color w:val="6F3CCB"/>
                <w:sz w:val="16"/>
              </w:rPr>
              <w:t>Mejor valor</w:t>
            </w:r>
          </w:p>
          <w:p>
            <w:pPr>
              <w:spacing w:after="40"/>
              <w:ind w:left="193" w:hanging="125"/>
            </w:pPr>
            <w:r>
              <w:rPr>
                <w:rFonts w:ascii="Aptos" w:hAnsi="Aptos" w:eastAsia="Aptos"/>
                <w:b/>
                <w:color w:val="6F3CCB"/>
                <w:sz w:val="17"/>
              </w:rPr>
              <w:t xml:space="preserve">• </w:t>
            </w:r>
            <w:r>
              <w:rPr>
                <w:rFonts w:ascii="Aptos" w:hAnsi="Aptos" w:eastAsia="Aptos"/>
                <w:color w:val="24344B"/>
                <w:sz w:val="17"/>
              </w:rPr>
              <w:t>Ruta Base + apoyo visual</w:t>
            </w:r>
          </w:p>
          <w:p>
            <w:pPr>
              <w:spacing w:after="40"/>
              <w:ind w:left="193" w:hanging="125"/>
            </w:pPr>
            <w:r>
              <w:rPr>
                <w:rFonts w:ascii="Aptos" w:hAnsi="Aptos" w:eastAsia="Aptos"/>
                <w:b/>
                <w:color w:val="6F3CCB"/>
                <w:sz w:val="17"/>
              </w:rPr>
              <w:t xml:space="preserve">• </w:t>
            </w:r>
            <w:r>
              <w:rPr>
                <w:rFonts w:ascii="Aptos" w:hAnsi="Aptos" w:eastAsia="Aptos"/>
                <w:color w:val="24344B"/>
                <w:sz w:val="17"/>
              </w:rPr>
              <w:t>Seguimiento pedagógico</w:t>
            </w:r>
          </w:p>
          <w:p>
            <w:pPr>
              <w:spacing w:after="40"/>
              <w:ind w:left="193" w:hanging="125"/>
            </w:pPr>
            <w:r>
              <w:rPr>
                <w:rFonts w:ascii="Aptos" w:hAnsi="Aptos" w:eastAsia="Aptos"/>
                <w:b/>
                <w:color w:val="6F3CCB"/>
                <w:sz w:val="17"/>
              </w:rPr>
              <w:t xml:space="preserve">• </w:t>
            </w:r>
            <w:r>
              <w:rPr>
                <w:rFonts w:ascii="Aptos" w:hAnsi="Aptos" w:eastAsia="Aptos"/>
                <w:color w:val="24344B"/>
                <w:sz w:val="17"/>
              </w:rPr>
              <w:t>Experiencia completa para el mismo periodo</w:t>
            </w:r>
          </w:p>
        </w:tc>
      </w:tr>
    </w:tbl>
    <w:p>
      <w:pPr>
        <w:keepNext/>
        <w:spacing w:before="120" w:after="60"/>
      </w:pPr>
      <w:r>
        <w:rPr>
          <w:rFonts w:ascii="Aptos Display" w:hAnsi="Aptos Display" w:eastAsia="Aptos Display"/>
          <w:b/>
          <w:color w:val="0E2F66"/>
          <w:sz w:val="22"/>
        </w:rPr>
        <w:t>Matriz de recursos incluidos</w:t>
      </w:r>
    </w:p>
    <w:tbl>
      <w:tblPr>
        <w:tblW w:type="dxa" w:w="8902"/>
        <w:jc w:val="center"/>
        <w:tblLayout w:type="fixed"/>
        <w:tblLook w:firstColumn="1" w:firstRow="1" w:lastColumn="0" w:lastRow="0" w:noHBand="0" w:noVBand="1" w:val="04A0"/>
      </w:tblPr>
      <w:tblGrid>
        <w:gridCol w:w="2608"/>
        <w:gridCol w:w="1503"/>
        <w:gridCol w:w="1588"/>
        <w:gridCol w:w="1701"/>
        <w:gridCol w:w="1503"/>
      </w:tblGrid>
      <w:tr>
        <w:trPr>
          <w:cantSplit/>
          <w:tblHeader w:val="true"/>
        </w:trPr>
        <w:tc>
          <w:tcPr>
            <w:tcW w:type="dxa" w:w="260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5"/>
              </w:rPr>
              <w:t>Recurso</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5"/>
              </w:rPr>
              <w:t>Ruta Base</w:t>
            </w:r>
          </w:p>
        </w:tc>
        <w:tc>
          <w:tcPr>
            <w:tcW w:type="dxa" w:w="158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5"/>
              </w:rPr>
              <w:t>Ruta Visual</w:t>
            </w:r>
          </w:p>
        </w:tc>
        <w:tc>
          <w:tcPr>
            <w:tcW w:type="dxa" w:w="170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5"/>
              </w:rPr>
              <w:t>Ruta Seguimiento</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5"/>
              </w:rPr>
              <w:t>Ruta Integral</w:t>
            </w:r>
          </w:p>
        </w:tc>
      </w:tr>
      <w:tr>
        <w:trPr>
          <w:cantSplit/>
        </w:trPr>
        <w:tc>
          <w:tcPr>
            <w:tcW w:type="dxa" w:w="260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5"/>
              </w:rPr>
              <w:t>Planeación y fichas</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5"/>
              </w:rPr>
              <w:t>Incluido</w:t>
            </w:r>
          </w:p>
        </w:tc>
        <w:tc>
          <w:tcPr>
            <w:tcW w:type="dxa" w:w="158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5"/>
              </w:rPr>
              <w:t>Incluido</w:t>
            </w:r>
          </w:p>
        </w:tc>
        <w:tc>
          <w:tcPr>
            <w:tcW w:type="dxa" w:w="170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5"/>
              </w:rPr>
              <w:t>Incluido</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pPr>
            <w:r>
              <w:rPr>
                <w:rFonts w:ascii="Aptos" w:hAnsi="Aptos" w:eastAsia="Aptos"/>
                <w:b w:val="0"/>
                <w:color w:val="24344B"/>
                <w:sz w:val="15"/>
              </w:rPr>
              <w:t>Incluido</w:t>
            </w:r>
          </w:p>
        </w:tc>
      </w:tr>
      <w:tr>
        <w:trPr>
          <w:cantSplit/>
        </w:trPr>
        <w:tc>
          <w:tcPr>
            <w:tcW w:type="dxa" w:w="260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5"/>
              </w:rPr>
              <w:t>Diapositivas de apoyo visual</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5"/>
              </w:rPr>
              <w:t>—</w:t>
            </w:r>
          </w:p>
        </w:tc>
        <w:tc>
          <w:tcPr>
            <w:tcW w:type="dxa" w:w="158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5"/>
              </w:rPr>
              <w:t>Incluido</w:t>
            </w:r>
          </w:p>
        </w:tc>
        <w:tc>
          <w:tcPr>
            <w:tcW w:type="dxa" w:w="170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5"/>
              </w:rPr>
              <w:t>—</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pPr>
            <w:r>
              <w:rPr>
                <w:rFonts w:ascii="Aptos" w:hAnsi="Aptos" w:eastAsia="Aptos"/>
                <w:b w:val="0"/>
                <w:color w:val="24344B"/>
                <w:sz w:val="15"/>
              </w:rPr>
              <w:t>Incluido</w:t>
            </w:r>
          </w:p>
        </w:tc>
      </w:tr>
      <w:tr>
        <w:trPr>
          <w:cantSplit/>
        </w:trPr>
        <w:tc>
          <w:tcPr>
            <w:tcW w:type="dxa" w:w="260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5"/>
              </w:rPr>
              <w:t>Seguimiento pedagógico en Excel</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5"/>
              </w:rPr>
              <w:t>—</w:t>
            </w:r>
          </w:p>
        </w:tc>
        <w:tc>
          <w:tcPr>
            <w:tcW w:type="dxa" w:w="158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5"/>
              </w:rPr>
              <w:t>—</w:t>
            </w:r>
          </w:p>
        </w:tc>
        <w:tc>
          <w:tcPr>
            <w:tcW w:type="dxa" w:w="170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5"/>
              </w:rPr>
              <w:t>Incluido</w:t>
            </w:r>
          </w:p>
        </w:tc>
        <w:tc>
          <w:tcPr>
            <w:tcW w:type="dxa" w:w="150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pPr>
            <w:r>
              <w:rPr>
                <w:rFonts w:ascii="Aptos" w:hAnsi="Aptos" w:eastAsia="Aptos"/>
                <w:b w:val="0"/>
                <w:color w:val="24344B"/>
                <w:sz w:val="15"/>
              </w:rPr>
              <w:t>Incluido</w:t>
            </w:r>
          </w:p>
        </w:tc>
      </w:tr>
    </w:tbl>
    <w:tbl>
      <w:tblPr>
        <w:tblW w:type="dxa" w:w="9412"/>
        <w:jc w:val="center"/>
        <w:tblLayout w:type="fixed"/>
        <w:tblLook w:firstColumn="1" w:firstRow="1" w:lastColumn="0" w:lastRow="0" w:noHBand="0" w:noVBand="1" w:val="04A0"/>
      </w:tblPr>
      <w:tblGrid>
        <w:gridCol w:w="142"/>
        <w:gridCol w:w="9270"/>
      </w:tblGrid>
      <w:tr>
        <w:tc>
          <w:tcPr>
            <w:tcW w:type="dxa" w:w="142"/>
            <w:shd w:fill="5DB3F0"/>
            <w:tcBorders>
              <w:top w:val="nil"/>
              <w:left w:val="nil"/>
              <w:bottom w:val="nil"/>
              <w:right w:val="nil"/>
            </w:tcBorders>
            <w:tcMar>
              <w:top w:w="0" w:type="dxa"/>
              <w:start w:w="0" w:type="dxa"/>
              <w:bottom w:w="0" w:type="dxa"/>
              <w:end w:w="0" w:type="dxa"/>
            </w:tcMar>
          </w:tcPr>
          <w:p/>
        </w:tc>
        <w:tc>
          <w:tcPr>
            <w:tcW w:type="dxa" w:w="9270"/>
            <w:shd w:fill="EDF7FD"/>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Distintivos comerciales</w:t>
            </w:r>
          </w:p>
          <w:p>
            <w:pPr>
              <w:spacing w:after="0" w:line="252" w:lineRule="auto"/>
            </w:pPr>
            <w:r>
              <w:rPr>
                <w:rFonts w:ascii="Aptos" w:hAnsi="Aptos" w:eastAsia="Aptos"/>
                <w:color w:val="24344B"/>
                <w:sz w:val="19"/>
              </w:rPr>
              <w:t>Ruta Visual utiliza la insignia «Recomendada». Ruta Integral utiliza «Mejor valor». La etiqueta «Más vendida» solo se incorporará cuando existan datos reales de compra.</w:t>
            </w:r>
          </w:p>
        </w:tc>
      </w:tr>
    </w:tbl>
    <w:p>
      <w:pPr>
        <w:spacing w:after="0"/>
      </w:pPr>
    </w:p>
    <w:p>
      <w:pPr>
        <w:keepNext/>
        <w:spacing w:before="120" w:after="60"/>
      </w:pPr>
      <w:r>
        <w:rPr>
          <w:rFonts w:ascii="Aptos Display" w:hAnsi="Aptos Display" w:eastAsia="Aptos Display"/>
          <w:b/>
          <w:color w:val="0E2F66"/>
          <w:sz w:val="22"/>
        </w:rPr>
        <w:t>Recursos integrados en las fichas</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Actividades permanentes.</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Recortables, cuando correspondan.</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Evidencias para cuaderno, libreta o portafolio.</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Correcciones y actualizaciones conforme a la política del producto adquirido.</w:t>
      </w:r>
    </w:p>
    <w:p>
      <w:r>
        <w:br w:type="page"/>
      </w:r>
    </w:p>
    <w:p>
      <w:pPr>
        <w:keepNext/>
        <w:spacing w:before="40" w:after="80"/>
        <w:pBdr>
          <w:bottom w:val="single" w:sz="10" w:space="4" w:color="5DB3F0"/>
        </w:pBdr>
      </w:pPr>
      <w:r>
        <w:rPr>
          <w:rFonts w:ascii="Aptos Display" w:hAnsi="Aptos Display" w:eastAsia="Aptos Display"/>
          <w:b/>
          <w:color w:val="00B7C3"/>
          <w:sz w:val="30"/>
        </w:rPr>
        <w:t xml:space="preserve">3  </w:t>
      </w:r>
      <w:r>
        <w:rPr>
          <w:rFonts w:ascii="Aptos Display" w:hAnsi="Aptos Display" w:eastAsia="Aptos Display"/>
          <w:b/>
          <w:color w:val="0E2F66"/>
          <w:sz w:val="32"/>
        </w:rPr>
        <w:t>Calendarización y cantidad de producto</w:t>
      </w:r>
    </w:p>
    <w:p>
      <w:pPr>
        <w:spacing w:after="140"/>
      </w:pPr>
      <w:r>
        <w:rPr>
          <w:rFonts w:ascii="Aptos" w:hAnsi="Aptos" w:eastAsia="Aptos"/>
          <w:i/>
          <w:color w:val="687386"/>
          <w:sz w:val="18"/>
        </w:rPr>
        <w:t>La estructura de venta se apoya en 185 jornadas efectivas durante el ciclo escolar.</w:t>
      </w:r>
    </w:p>
    <w:tbl>
      <w:tblPr>
        <w:tblW w:type="dxa" w:w="9412"/>
        <w:jc w:val="center"/>
        <w:tblLayout w:type="fixed"/>
        <w:tblLook w:firstColumn="1" w:firstRow="1" w:lastColumn="0" w:lastRow="0" w:noHBand="0" w:noVBand="1" w:val="04A0"/>
      </w:tblPr>
      <w:tblGrid>
        <w:gridCol w:w="2353"/>
        <w:gridCol w:w="2353"/>
        <w:gridCol w:w="2353"/>
        <w:gridCol w:w="2353"/>
      </w:tblGrid>
      <w:tr>
        <w:tc>
          <w:tcPr>
            <w:tcW w:type="dxa" w:w="2353"/>
            <w:shd w:fill="EAFBFB"/>
            <w:tcBorders>
              <w:top w:val="single" w:sz="7" w:space="0" w:color="00B7C3"/>
              <w:left w:val="single" w:sz="7" w:space="0" w:color="00B7C3"/>
              <w:bottom w:val="single" w:sz="7" w:space="0" w:color="00B7C3"/>
              <w:right w:val="single" w:sz="7" w:space="0" w:color="00B7C3"/>
            </w:tcBorders>
            <w:tcMar>
              <w:top w:w="110" w:type="dxa"/>
              <w:start w:w="90" w:type="dxa"/>
              <w:bottom w:w="105" w:type="dxa"/>
              <w:end w:w="90" w:type="dxa"/>
            </w:tcMar>
          </w:tcPr>
          <w:p>
            <w:pPr>
              <w:spacing w:after="20"/>
              <w:jc w:val="center"/>
            </w:pPr>
            <w:r>
              <w:rPr>
                <w:rFonts w:ascii="Aptos Display" w:hAnsi="Aptos Display" w:eastAsia="Aptos Display"/>
                <w:b/>
                <w:color w:val="0E2F66"/>
                <w:sz w:val="30"/>
              </w:rPr>
              <w:t>46</w:t>
            </w:r>
          </w:p>
          <w:p>
            <w:pPr>
              <w:spacing w:after="0"/>
              <w:jc w:val="center"/>
            </w:pPr>
            <w:r>
              <w:rPr>
                <w:rFonts w:ascii="Aptos" w:hAnsi="Aptos" w:eastAsia="Aptos"/>
                <w:color w:val="687386"/>
                <w:sz w:val="16"/>
              </w:rPr>
              <w:t>jornadas en T1</w:t>
            </w:r>
          </w:p>
        </w:tc>
        <w:tc>
          <w:tcPr>
            <w:tcW w:type="dxa" w:w="2353"/>
            <w:shd w:fill="EDF7FD"/>
            <w:tcBorders>
              <w:top w:val="single" w:sz="7" w:space="0" w:color="5DB3F0"/>
              <w:left w:val="single" w:sz="7" w:space="0" w:color="5DB3F0"/>
              <w:bottom w:val="single" w:sz="7" w:space="0" w:color="5DB3F0"/>
              <w:right w:val="single" w:sz="7" w:space="0" w:color="5DB3F0"/>
            </w:tcBorders>
            <w:tcMar>
              <w:top w:w="110" w:type="dxa"/>
              <w:start w:w="90" w:type="dxa"/>
              <w:bottom w:w="105" w:type="dxa"/>
              <w:end w:w="90" w:type="dxa"/>
            </w:tcMar>
          </w:tcPr>
          <w:p>
            <w:pPr>
              <w:spacing w:after="20"/>
              <w:jc w:val="center"/>
            </w:pPr>
            <w:r>
              <w:rPr>
                <w:rFonts w:ascii="Aptos Display" w:hAnsi="Aptos Display" w:eastAsia="Aptos Display"/>
                <w:b/>
                <w:color w:val="0E2F66"/>
                <w:sz w:val="30"/>
              </w:rPr>
              <w:t>61</w:t>
            </w:r>
          </w:p>
          <w:p>
            <w:pPr>
              <w:spacing w:after="0"/>
              <w:jc w:val="center"/>
            </w:pPr>
            <w:r>
              <w:rPr>
                <w:rFonts w:ascii="Aptos" w:hAnsi="Aptos" w:eastAsia="Aptos"/>
                <w:color w:val="687386"/>
                <w:sz w:val="16"/>
              </w:rPr>
              <w:t>jornadas en T2</w:t>
            </w:r>
          </w:p>
        </w:tc>
        <w:tc>
          <w:tcPr>
            <w:tcW w:type="dxa" w:w="2353"/>
            <w:shd w:fill="F4EFFC"/>
            <w:tcBorders>
              <w:top w:val="single" w:sz="7" w:space="0" w:color="6F3CCB"/>
              <w:left w:val="single" w:sz="7" w:space="0" w:color="6F3CCB"/>
              <w:bottom w:val="single" w:sz="7" w:space="0" w:color="6F3CCB"/>
              <w:right w:val="single" w:sz="7" w:space="0" w:color="6F3CCB"/>
            </w:tcBorders>
            <w:tcMar>
              <w:top w:w="110" w:type="dxa"/>
              <w:start w:w="90" w:type="dxa"/>
              <w:bottom w:w="105" w:type="dxa"/>
              <w:end w:w="90" w:type="dxa"/>
            </w:tcMar>
          </w:tcPr>
          <w:p>
            <w:pPr>
              <w:spacing w:after="20"/>
              <w:jc w:val="center"/>
            </w:pPr>
            <w:r>
              <w:rPr>
                <w:rFonts w:ascii="Aptos Display" w:hAnsi="Aptos Display" w:eastAsia="Aptos Display"/>
                <w:b/>
                <w:color w:val="0E2F66"/>
                <w:sz w:val="30"/>
              </w:rPr>
              <w:t>64</w:t>
            </w:r>
          </w:p>
          <w:p>
            <w:pPr>
              <w:spacing w:after="0"/>
              <w:jc w:val="center"/>
            </w:pPr>
            <w:r>
              <w:rPr>
                <w:rFonts w:ascii="Aptos" w:hAnsi="Aptos" w:eastAsia="Aptos"/>
                <w:color w:val="687386"/>
                <w:sz w:val="16"/>
              </w:rPr>
              <w:t>jornadas en T3</w:t>
            </w:r>
          </w:p>
        </w:tc>
        <w:tc>
          <w:tcPr>
            <w:tcW w:type="dxa" w:w="2353"/>
            <w:shd w:fill="FDF0ED"/>
            <w:tcBorders>
              <w:top w:val="single" w:sz="7" w:space="0" w:color="E97867"/>
              <w:left w:val="single" w:sz="7" w:space="0" w:color="E97867"/>
              <w:bottom w:val="single" w:sz="7" w:space="0" w:color="E97867"/>
              <w:right w:val="single" w:sz="7" w:space="0" w:color="E97867"/>
            </w:tcBorders>
            <w:tcMar>
              <w:top w:w="110" w:type="dxa"/>
              <w:start w:w="90" w:type="dxa"/>
              <w:bottom w:w="105" w:type="dxa"/>
              <w:end w:w="90" w:type="dxa"/>
            </w:tcMar>
          </w:tcPr>
          <w:p>
            <w:pPr>
              <w:spacing w:after="20"/>
              <w:jc w:val="center"/>
            </w:pPr>
            <w:r>
              <w:rPr>
                <w:rFonts w:ascii="Aptos Display" w:hAnsi="Aptos Display" w:eastAsia="Aptos Display"/>
                <w:b/>
                <w:color w:val="0E2F66"/>
                <w:sz w:val="30"/>
              </w:rPr>
              <w:t>14</w:t>
            </w:r>
          </w:p>
          <w:p>
            <w:pPr>
              <w:spacing w:after="0"/>
              <w:jc w:val="center"/>
            </w:pPr>
            <w:r>
              <w:rPr>
                <w:rFonts w:ascii="Aptos" w:hAnsi="Aptos" w:eastAsia="Aptos"/>
                <w:color w:val="687386"/>
                <w:sz w:val="16"/>
              </w:rPr>
              <w:t>jornadas de cierre anual</w:t>
            </w:r>
          </w:p>
        </w:tc>
      </w:tr>
    </w:tbl>
    <w:p>
      <w:pPr>
        <w:keepNext/>
        <w:spacing w:before="120" w:after="60"/>
      </w:pPr>
      <w:r>
        <w:rPr>
          <w:rFonts w:ascii="Aptos Display" w:hAnsi="Aptos Display" w:eastAsia="Aptos Display"/>
          <w:b/>
          <w:color w:val="0E2F66"/>
          <w:sz w:val="22"/>
        </w:rPr>
        <w:t>Distribución por quincena</w:t>
      </w:r>
    </w:p>
    <w:tbl>
      <w:tblPr>
        <w:tblW w:type="dxa" w:w="9412"/>
        <w:jc w:val="center"/>
        <w:tblLayout w:type="fixed"/>
        <w:tblLook w:firstColumn="1" w:firstRow="1" w:lastColumn="0" w:lastRow="0" w:noHBand="0" w:noVBand="1" w:val="04A0"/>
      </w:tblPr>
      <w:tblGrid>
        <w:gridCol w:w="1928"/>
        <w:gridCol w:w="3629"/>
        <w:gridCol w:w="1021"/>
        <w:gridCol w:w="2835"/>
      </w:tblGrid>
      <w:tr>
        <w:trPr>
          <w:cantSplit/>
          <w:tblHeader w:val="true"/>
        </w:trPr>
        <w:tc>
          <w:tcPr>
            <w:tcW w:type="dxa" w:w="192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left"/>
            </w:pPr>
            <w:r>
              <w:rPr>
                <w:rFonts w:ascii="Aptos" w:hAnsi="Aptos" w:eastAsia="Aptos"/>
                <w:b/>
                <w:color w:val="FFFFFF"/>
                <w:sz w:val="16"/>
              </w:rPr>
              <w:t>Periodo</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Jornadas por quincena</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Total</w:t>
            </w:r>
          </w:p>
        </w:tc>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Cobertura</w:t>
            </w:r>
          </w:p>
        </w:tc>
      </w:tr>
      <w:tr>
        <w:trPr>
          <w:cantSplit/>
        </w:trPr>
        <w:tc>
          <w:tcPr>
            <w:tcW w:type="dxa" w:w="192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left"/>
            </w:pPr>
            <w:r>
              <w:rPr>
                <w:rFonts w:ascii="Aptos" w:hAnsi="Aptos" w:eastAsia="Aptos"/>
                <w:b/>
                <w:color w:val="24344B"/>
                <w:sz w:val="16"/>
              </w:rPr>
              <w:t>Trimestre 1</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10 + 8 + 10 + 10 + 8</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46</w:t>
            </w:r>
          </w:p>
        </w:tc>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T1_Q01 a T1_Q05</w:t>
            </w:r>
          </w:p>
        </w:tc>
      </w:tr>
      <w:tr>
        <w:trPr>
          <w:cantSplit/>
        </w:trPr>
        <w:tc>
          <w:tcPr>
            <w:tcW w:type="dxa" w:w="192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left"/>
            </w:pPr>
            <w:r>
              <w:rPr>
                <w:rFonts w:ascii="Aptos" w:hAnsi="Aptos" w:eastAsia="Aptos"/>
                <w:b/>
                <w:color w:val="24344B"/>
                <w:sz w:val="16"/>
              </w:rPr>
              <w:t>Trimestre 2</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8 + 9 + 10 + 7 + 9 + 9 + 9</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61</w:t>
            </w:r>
          </w:p>
        </w:tc>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T2_Q01 a T2_Q07</w:t>
            </w:r>
          </w:p>
        </w:tc>
      </w:tr>
      <w:tr>
        <w:trPr>
          <w:cantSplit/>
        </w:trPr>
        <w:tc>
          <w:tcPr>
            <w:tcW w:type="dxa" w:w="192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left"/>
            </w:pPr>
            <w:r>
              <w:rPr>
                <w:rFonts w:ascii="Aptos" w:hAnsi="Aptos" w:eastAsia="Aptos"/>
                <w:b/>
                <w:color w:val="24344B"/>
                <w:sz w:val="16"/>
              </w:rPr>
              <w:t>Trimestre 3</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9 + 9 + 10 + 8 + 10 + 9 + 9</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64</w:t>
            </w:r>
          </w:p>
        </w:tc>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T3_Q01 a T3_Q07</w:t>
            </w:r>
          </w:p>
        </w:tc>
      </w:tr>
      <w:tr>
        <w:trPr>
          <w:cantSplit/>
        </w:trPr>
        <w:tc>
          <w:tcPr>
            <w:tcW w:type="dxa" w:w="192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left"/>
            </w:pPr>
            <w:r>
              <w:rPr>
                <w:rFonts w:ascii="Aptos" w:hAnsi="Aptos" w:eastAsia="Aptos"/>
                <w:b/>
                <w:color w:val="24344B"/>
                <w:sz w:val="16"/>
              </w:rPr>
              <w:t>Cierre anual</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14 jornadas continuas</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14</w:t>
            </w:r>
          </w:p>
        </w:tc>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21 jun. a 9 jul.</w:t>
            </w:r>
          </w:p>
        </w:tc>
      </w:tr>
    </w:tbl>
    <w:tbl>
      <w:tblPr>
        <w:tblW w:type="dxa" w:w="9412"/>
        <w:jc w:val="center"/>
        <w:tblLayout w:type="fixed"/>
        <w:tblLook w:firstColumn="1" w:firstRow="1" w:lastColumn="0" w:lastRow="0" w:noHBand="0" w:noVBand="1" w:val="04A0"/>
      </w:tblPr>
      <w:tblGrid>
        <w:gridCol w:w="142"/>
        <w:gridCol w:w="9270"/>
      </w:tblGrid>
      <w:tr>
        <w:tc>
          <w:tcPr>
            <w:tcW w:type="dxa" w:w="142"/>
            <w:shd w:fill="E97867"/>
            <w:tcBorders>
              <w:top w:val="nil"/>
              <w:left w:val="nil"/>
              <w:bottom w:val="nil"/>
              <w:right w:val="nil"/>
            </w:tcBorders>
            <w:tcMar>
              <w:top w:w="0" w:type="dxa"/>
              <w:start w:w="0" w:type="dxa"/>
              <w:bottom w:w="0" w:type="dxa"/>
              <w:end w:w="0" w:type="dxa"/>
            </w:tcMar>
          </w:tcPr>
          <w:p/>
        </w:tc>
        <w:tc>
          <w:tcPr>
            <w:tcW w:type="dxa" w:w="9270"/>
            <w:shd w:fill="FDF0ED"/>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Duración de las quincenas</w:t>
            </w:r>
          </w:p>
          <w:p>
            <w:pPr>
              <w:spacing w:after="0" w:line="252" w:lineRule="auto"/>
            </w:pPr>
            <w:r>
              <w:rPr>
                <w:rFonts w:ascii="Aptos" w:hAnsi="Aptos" w:eastAsia="Aptos"/>
                <w:color w:val="24344B"/>
                <w:sz w:val="19"/>
              </w:rPr>
              <w:t>En el ciclo 2026-2027 no existen quincenas de cinco jornadas o menos. La más corta es T2_Q04, con 7 jornadas efectivas. Las quincenas de 7 a 10 jornadas se comercializan como bloques pedagógicos completos.</w:t>
            </w:r>
          </w:p>
        </w:tc>
      </w:tr>
    </w:tbl>
    <w:p>
      <w:pPr>
        <w:spacing w:after="0"/>
      </w:pPr>
    </w:p>
    <w:p>
      <w:pPr>
        <w:keepNext/>
        <w:spacing w:before="120" w:after="60"/>
      </w:pPr>
      <w:r>
        <w:rPr>
          <w:rFonts w:ascii="Aptos Display" w:hAnsi="Aptos Display" w:eastAsia="Aptos Display"/>
          <w:b/>
          <w:color w:val="0E2F66"/>
          <w:sz w:val="22"/>
        </w:rPr>
        <w:t>Criterio de equilibrio</w:t>
      </w:r>
    </w:p>
    <w:p>
      <w:pPr>
        <w:spacing w:before="0" w:after="80" w:line="259" w:lineRule="auto"/>
      </w:pPr>
      <w:r>
        <w:rPr>
          <w:rFonts w:ascii="Aptos" w:hAnsi="Aptos" w:eastAsia="Aptos"/>
          <w:color w:val="24344B"/>
          <w:sz w:val="19"/>
        </w:rPr>
        <w:t>Las variaciones de uno, dos o tres días entre quincenas responden a suspensiones, consejos técnicos, vacaciones y periodos institucionales. Por ello, el ajuste no se realiza en el precio quincenal, sino en la agrupación mensual y en el valor de cada trimestre.</w:t>
      </w:r>
    </w:p>
    <w:p>
      <w:pPr>
        <w:keepNext/>
        <w:spacing w:before="120" w:after="60"/>
      </w:pPr>
      <w:r>
        <w:rPr>
          <w:rFonts w:ascii="Aptos Display" w:hAnsi="Aptos Display" w:eastAsia="Aptos Display"/>
          <w:b/>
          <w:color w:val="0E2F66"/>
          <w:sz w:val="22"/>
        </w:rPr>
        <w:t>Regla para periodos excepcionalmente cortos</w:t>
      </w:r>
    </w:p>
    <w:p>
      <w:pPr>
        <w:spacing w:before="0" w:after="40" w:line="259" w:lineRule="auto"/>
      </w:pPr>
      <w:r>
        <w:rPr>
          <w:rFonts w:ascii="Aptos" w:hAnsi="Aptos" w:eastAsia="Aptos"/>
          <w:color w:val="24344B"/>
          <w:sz w:val="19"/>
        </w:rPr>
        <w:t>Cuando una calendarización contenga una quincena de cinco jornadas efectivas o menos, se incluirá con la quincena contigua más lógica y se mantendrá el precio de una sola quincena. El archivo conservará su nombre y aparecerá como incluido.</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Un cierre corto se integra preferentemente con la quincena anterior.</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Un diagnóstico o bloque de reactivación puede integrarse con la quincena siguiente.</w:t>
      </w:r>
    </w:p>
    <w:p>
      <w:r>
        <w:br w:type="page"/>
      </w:r>
    </w:p>
    <w:p>
      <w:pPr>
        <w:keepNext/>
        <w:spacing w:before="40" w:after="80"/>
        <w:pBdr>
          <w:bottom w:val="single" w:sz="10" w:space="4" w:color="5DB3F0"/>
        </w:pBdr>
      </w:pPr>
      <w:r>
        <w:rPr>
          <w:rFonts w:ascii="Aptos Display" w:hAnsi="Aptos Display" w:eastAsia="Aptos Display"/>
          <w:b/>
          <w:color w:val="00B7C3"/>
          <w:sz w:val="30"/>
        </w:rPr>
        <w:t xml:space="preserve">4  </w:t>
      </w:r>
      <w:r>
        <w:rPr>
          <w:rFonts w:ascii="Aptos Display" w:hAnsi="Aptos Display" w:eastAsia="Aptos Display"/>
          <w:b/>
          <w:color w:val="0E2F66"/>
          <w:sz w:val="32"/>
        </w:rPr>
        <w:t>Reglas de venta por cobertura</w:t>
      </w:r>
    </w:p>
    <w:p>
      <w:pPr>
        <w:spacing w:after="140"/>
      </w:pPr>
      <w:r>
        <w:rPr>
          <w:rFonts w:ascii="Aptos" w:hAnsi="Aptos" w:eastAsia="Aptos"/>
          <w:i/>
          <w:color w:val="687386"/>
          <w:sz w:val="18"/>
        </w:rPr>
        <w:t>Cada nivel ofrece un beneficio distinto sin acumular descuentos excesivos.</w:t>
      </w:r>
    </w:p>
    <w:tbl>
      <w:tblPr>
        <w:tblW w:type="dxa" w:w="9412"/>
        <w:jc w:val="center"/>
        <w:tblLayout w:type="fixed"/>
        <w:tblLook w:firstColumn="1" w:firstRow="1" w:lastColumn="0" w:lastRow="0" w:noHBand="0" w:noVBand="1" w:val="04A0"/>
      </w:tblPr>
      <w:tblGrid>
        <w:gridCol w:w="4706"/>
        <w:gridCol w:w="4706"/>
      </w:tblGrid>
      <w:tr>
        <w:tc>
          <w:tcPr>
            <w:tcW w:type="dxa" w:w="4706"/>
            <w:shd w:fill="EDF7FD"/>
            <w:tcBorders>
              <w:top w:val="single" w:sz="7" w:space="0" w:color="5DB3F0"/>
              <w:left w:val="single" w:sz="7" w:space="0" w:color="5DB3F0"/>
              <w:bottom w:val="single" w:sz="7" w:space="0" w:color="5DB3F0"/>
              <w:right w:val="single" w:sz="7" w:space="0" w:color="5DB3F0"/>
            </w:tcBorders>
            <w:tcMar>
              <w:top w:w="125" w:type="dxa"/>
              <w:start w:w="145" w:type="dxa"/>
              <w:bottom w:w="120" w:type="dxa"/>
              <w:end w:w="145" w:type="dxa"/>
            </w:tcMar>
          </w:tcPr>
          <w:p>
            <w:pPr>
              <w:spacing w:after="80"/>
            </w:pPr>
            <w:r>
              <w:rPr>
                <w:rFonts w:ascii="Aptos Display" w:hAnsi="Aptos Display" w:eastAsia="Aptos Display"/>
                <w:b/>
                <w:color w:val="0E2F66"/>
                <w:sz w:val="22"/>
              </w:rPr>
              <w:t>QUINCENA</w:t>
            </w:r>
          </w:p>
          <w:p>
            <w:pPr>
              <w:spacing w:after="40"/>
              <w:ind w:left="193" w:hanging="125"/>
            </w:pPr>
            <w:r>
              <w:rPr>
                <w:rFonts w:ascii="Aptos" w:hAnsi="Aptos" w:eastAsia="Aptos"/>
                <w:b/>
                <w:color w:val="5DB3F0"/>
                <w:sz w:val="17"/>
              </w:rPr>
              <w:t xml:space="preserve">• </w:t>
            </w:r>
            <w:r>
              <w:rPr>
                <w:rFonts w:ascii="Aptos" w:hAnsi="Aptos" w:eastAsia="Aptos"/>
                <w:color w:val="24344B"/>
                <w:sz w:val="17"/>
              </w:rPr>
              <w:t>Bloque pedagógico completo.</w:t>
            </w:r>
          </w:p>
          <w:p>
            <w:pPr>
              <w:spacing w:after="40"/>
              <w:ind w:left="193" w:hanging="125"/>
            </w:pPr>
            <w:r>
              <w:rPr>
                <w:rFonts w:ascii="Aptos" w:hAnsi="Aptos" w:eastAsia="Aptos"/>
                <w:b/>
                <w:color w:val="5DB3F0"/>
                <w:sz w:val="17"/>
              </w:rPr>
              <w:t xml:space="preserve">• </w:t>
            </w:r>
            <w:r>
              <w:rPr>
                <w:rFonts w:ascii="Aptos" w:hAnsi="Aptos" w:eastAsia="Aptos"/>
                <w:color w:val="24344B"/>
                <w:sz w:val="17"/>
              </w:rPr>
              <w:t>Las quincenas de 7 a 10 jornadas conservan el mismo precio.</w:t>
            </w:r>
          </w:p>
          <w:p>
            <w:pPr>
              <w:spacing w:after="40"/>
              <w:ind w:left="193" w:hanging="125"/>
            </w:pPr>
            <w:r>
              <w:rPr>
                <w:rFonts w:ascii="Aptos" w:hAnsi="Aptos" w:eastAsia="Aptos"/>
                <w:b/>
                <w:color w:val="5DB3F0"/>
                <w:sz w:val="17"/>
              </w:rPr>
              <w:t xml:space="preserve">• </w:t>
            </w:r>
            <w:r>
              <w:rPr>
                <w:rFonts w:ascii="Aptos" w:hAnsi="Aptos" w:eastAsia="Aptos"/>
                <w:color w:val="24344B"/>
                <w:sz w:val="17"/>
              </w:rPr>
              <w:t>Puede adquirirse de manera independiente.</w:t>
            </w:r>
          </w:p>
        </w:tc>
        <w:tc>
          <w:tcPr>
            <w:tcW w:type="dxa" w:w="4706"/>
            <w:shd w:fill="EAFBFB"/>
            <w:tcBorders>
              <w:top w:val="single" w:sz="7" w:space="0" w:color="00B7C3"/>
              <w:left w:val="single" w:sz="7" w:space="0" w:color="00B7C3"/>
              <w:bottom w:val="single" w:sz="7" w:space="0" w:color="00B7C3"/>
              <w:right w:val="single" w:sz="7" w:space="0" w:color="00B7C3"/>
            </w:tcBorders>
            <w:tcMar>
              <w:top w:w="125" w:type="dxa"/>
              <w:start w:w="145" w:type="dxa"/>
              <w:bottom w:w="120" w:type="dxa"/>
              <w:end w:w="145" w:type="dxa"/>
            </w:tcMar>
          </w:tcPr>
          <w:p>
            <w:pPr>
              <w:spacing w:after="80"/>
            </w:pPr>
            <w:r>
              <w:rPr>
                <w:rFonts w:ascii="Aptos Display" w:hAnsi="Aptos Display" w:eastAsia="Aptos Display"/>
                <w:b/>
                <w:color w:val="0E2F66"/>
                <w:sz w:val="22"/>
              </w:rPr>
              <w:t>MES</w:t>
            </w:r>
          </w:p>
          <w:p>
            <w:pPr>
              <w:spacing w:after="40"/>
              <w:ind w:left="193" w:hanging="125"/>
            </w:pPr>
            <w:r>
              <w:rPr>
                <w:rFonts w:ascii="Aptos" w:hAnsi="Aptos" w:eastAsia="Aptos"/>
                <w:b/>
                <w:color w:val="00B7C3"/>
                <w:sz w:val="17"/>
              </w:rPr>
              <w:t xml:space="preserve">• </w:t>
            </w:r>
            <w:r>
              <w:rPr>
                <w:rFonts w:ascii="Aptos" w:hAnsi="Aptos" w:eastAsia="Aptos"/>
                <w:color w:val="24344B"/>
                <w:sz w:val="17"/>
              </w:rPr>
              <w:t>Reúne dos quincenas consecutivas.</w:t>
            </w:r>
          </w:p>
          <w:p>
            <w:pPr>
              <w:spacing w:after="40"/>
              <w:ind w:left="193" w:hanging="125"/>
            </w:pPr>
            <w:r>
              <w:rPr>
                <w:rFonts w:ascii="Aptos" w:hAnsi="Aptos" w:eastAsia="Aptos"/>
                <w:b/>
                <w:color w:val="00B7C3"/>
                <w:sz w:val="17"/>
              </w:rPr>
              <w:t xml:space="preserve">• </w:t>
            </w:r>
            <w:r>
              <w:rPr>
                <w:rFonts w:ascii="Aptos" w:hAnsi="Aptos" w:eastAsia="Aptos"/>
                <w:color w:val="24344B"/>
                <w:sz w:val="17"/>
              </w:rPr>
              <w:t>Un bloque mensual de una sola quincena se incluye con el mensual anterior.</w:t>
            </w:r>
          </w:p>
          <w:p>
            <w:pPr>
              <w:spacing w:after="40"/>
              <w:ind w:left="193" w:hanging="125"/>
            </w:pPr>
            <w:r>
              <w:rPr>
                <w:rFonts w:ascii="Aptos" w:hAnsi="Aptos" w:eastAsia="Aptos"/>
                <w:b/>
                <w:color w:val="00B7C3"/>
                <w:sz w:val="17"/>
              </w:rPr>
              <w:t xml:space="preserve">• </w:t>
            </w:r>
            <w:r>
              <w:rPr>
                <w:rFonts w:ascii="Aptos" w:hAnsi="Aptos" w:eastAsia="Aptos"/>
                <w:color w:val="24344B"/>
                <w:sz w:val="17"/>
              </w:rPr>
              <w:t>El archivo incluido permanece separado en la biblioteca.</w:t>
            </w:r>
          </w:p>
        </w:tc>
      </w:tr>
      <w:tr>
        <w:tc>
          <w:tcPr>
            <w:tcW w:type="dxa" w:w="4706"/>
            <w:shd w:fill="FDF0ED"/>
            <w:tcBorders>
              <w:top w:val="single" w:sz="7" w:space="0" w:color="E97867"/>
              <w:left w:val="single" w:sz="7" w:space="0" w:color="E97867"/>
              <w:bottom w:val="single" w:sz="7" w:space="0" w:color="E97867"/>
              <w:right w:val="single" w:sz="7" w:space="0" w:color="E97867"/>
            </w:tcBorders>
            <w:tcMar>
              <w:top w:w="125" w:type="dxa"/>
              <w:start w:w="145" w:type="dxa"/>
              <w:bottom w:w="120" w:type="dxa"/>
              <w:end w:w="145" w:type="dxa"/>
            </w:tcMar>
          </w:tcPr>
          <w:p>
            <w:pPr>
              <w:spacing w:after="80"/>
            </w:pPr>
            <w:r>
              <w:rPr>
                <w:rFonts w:ascii="Aptos Display" w:hAnsi="Aptos Display" w:eastAsia="Aptos Display"/>
                <w:b/>
                <w:color w:val="0E2F66"/>
                <w:sz w:val="22"/>
              </w:rPr>
              <w:t>TRIMESTRE</w:t>
            </w:r>
          </w:p>
          <w:p>
            <w:pPr>
              <w:spacing w:after="40"/>
              <w:ind w:left="193" w:hanging="125"/>
            </w:pPr>
            <w:r>
              <w:rPr>
                <w:rFonts w:ascii="Aptos" w:hAnsi="Aptos" w:eastAsia="Aptos"/>
                <w:b/>
                <w:color w:val="E97867"/>
                <w:sz w:val="17"/>
              </w:rPr>
              <w:t xml:space="preserve">• </w:t>
            </w:r>
            <w:r>
              <w:rPr>
                <w:rFonts w:ascii="Aptos" w:hAnsi="Aptos" w:eastAsia="Aptos"/>
                <w:color w:val="24344B"/>
                <w:sz w:val="17"/>
              </w:rPr>
              <w:t>Incluye todas las quincenas del trimestre.</w:t>
            </w:r>
          </w:p>
          <w:p>
            <w:pPr>
              <w:spacing w:after="40"/>
              <w:ind w:left="193" w:hanging="125"/>
            </w:pPr>
            <w:r>
              <w:rPr>
                <w:rFonts w:ascii="Aptos" w:hAnsi="Aptos" w:eastAsia="Aptos"/>
                <w:b/>
                <w:color w:val="E97867"/>
                <w:sz w:val="17"/>
              </w:rPr>
              <w:t xml:space="preserve">• </w:t>
            </w:r>
            <w:r>
              <w:rPr>
                <w:rFonts w:ascii="Aptos" w:hAnsi="Aptos" w:eastAsia="Aptos"/>
                <w:color w:val="24344B"/>
                <w:sz w:val="17"/>
              </w:rPr>
              <w:t>T1 tiene precio propio por su menor duración.</w:t>
            </w:r>
          </w:p>
          <w:p>
            <w:pPr>
              <w:spacing w:after="40"/>
              <w:ind w:left="193" w:hanging="125"/>
            </w:pPr>
            <w:r>
              <w:rPr>
                <w:rFonts w:ascii="Aptos" w:hAnsi="Aptos" w:eastAsia="Aptos"/>
                <w:b/>
                <w:color w:val="E97867"/>
                <w:sz w:val="17"/>
              </w:rPr>
              <w:t xml:space="preserve">• </w:t>
            </w:r>
            <w:r>
              <w:rPr>
                <w:rFonts w:ascii="Aptos" w:hAnsi="Aptos" w:eastAsia="Aptos"/>
                <w:color w:val="24344B"/>
                <w:sz w:val="17"/>
              </w:rPr>
              <w:t>T2 y T3 comparten escala por su extensión semejante.</w:t>
            </w:r>
          </w:p>
        </w:tc>
        <w:tc>
          <w:tcPr>
            <w:tcW w:type="dxa" w:w="4706"/>
            <w:shd w:fill="F4EFFC"/>
            <w:tcBorders>
              <w:top w:val="single" w:sz="7" w:space="0" w:color="6F3CCB"/>
              <w:left w:val="single" w:sz="7" w:space="0" w:color="6F3CCB"/>
              <w:bottom w:val="single" w:sz="7" w:space="0" w:color="6F3CCB"/>
              <w:right w:val="single" w:sz="7" w:space="0" w:color="6F3CCB"/>
            </w:tcBorders>
            <w:tcMar>
              <w:top w:w="125" w:type="dxa"/>
              <w:start w:w="145" w:type="dxa"/>
              <w:bottom w:w="120" w:type="dxa"/>
              <w:end w:w="145" w:type="dxa"/>
            </w:tcMar>
          </w:tcPr>
          <w:p>
            <w:pPr>
              <w:spacing w:after="80"/>
            </w:pPr>
            <w:r>
              <w:rPr>
                <w:rFonts w:ascii="Aptos Display" w:hAnsi="Aptos Display" w:eastAsia="Aptos Display"/>
                <w:b/>
                <w:color w:val="0E2F66"/>
                <w:sz w:val="22"/>
              </w:rPr>
              <w:t>CICLO COMPLETO</w:t>
            </w:r>
          </w:p>
          <w:p>
            <w:pPr>
              <w:spacing w:after="40"/>
              <w:ind w:left="193" w:hanging="125"/>
            </w:pPr>
            <w:r>
              <w:rPr>
                <w:rFonts w:ascii="Aptos" w:hAnsi="Aptos" w:eastAsia="Aptos"/>
                <w:b/>
                <w:color w:val="6F3CCB"/>
                <w:sz w:val="17"/>
              </w:rPr>
              <w:t xml:space="preserve">• </w:t>
            </w:r>
            <w:r>
              <w:rPr>
                <w:rFonts w:ascii="Aptos" w:hAnsi="Aptos" w:eastAsia="Aptos"/>
                <w:color w:val="24344B"/>
                <w:sz w:val="17"/>
              </w:rPr>
              <w:t>Incluye T1, T2, T3 y el cierre anual.</w:t>
            </w:r>
          </w:p>
          <w:p>
            <w:pPr>
              <w:spacing w:after="40"/>
              <w:ind w:left="193" w:hanging="125"/>
            </w:pPr>
            <w:r>
              <w:rPr>
                <w:rFonts w:ascii="Aptos" w:hAnsi="Aptos" w:eastAsia="Aptos"/>
                <w:b/>
                <w:color w:val="6F3CCB"/>
                <w:sz w:val="17"/>
              </w:rPr>
              <w:t xml:space="preserve">• </w:t>
            </w:r>
            <w:r>
              <w:rPr>
                <w:rFonts w:ascii="Aptos" w:hAnsi="Aptos" w:eastAsia="Aptos"/>
                <w:color w:val="24344B"/>
                <w:sz w:val="17"/>
              </w:rPr>
              <w:t>Desbloquea todos los recursos de la ruta seleccionada.</w:t>
            </w:r>
          </w:p>
          <w:p>
            <w:pPr>
              <w:spacing w:after="40"/>
              <w:ind w:left="193" w:hanging="125"/>
            </w:pPr>
            <w:r>
              <w:rPr>
                <w:rFonts w:ascii="Aptos" w:hAnsi="Aptos" w:eastAsia="Aptos"/>
                <w:b/>
                <w:color w:val="6F3CCB"/>
                <w:sz w:val="17"/>
              </w:rPr>
              <w:t xml:space="preserve">• </w:t>
            </w:r>
            <w:r>
              <w:rPr>
                <w:rFonts w:ascii="Aptos" w:hAnsi="Aptos" w:eastAsia="Aptos"/>
                <w:color w:val="24344B"/>
                <w:sz w:val="17"/>
              </w:rPr>
              <w:t>Ofrece el mayor ahorro de la estructura.</w:t>
            </w:r>
          </w:p>
        </w:tc>
      </w:tr>
    </w:tbl>
    <w:p>
      <w:pPr>
        <w:keepNext/>
        <w:spacing w:before="120" w:after="60"/>
      </w:pPr>
      <w:r>
        <w:rPr>
          <w:rFonts w:ascii="Aptos Display" w:hAnsi="Aptos Display" w:eastAsia="Aptos Display"/>
          <w:b/>
          <w:color w:val="0E2F66"/>
          <w:sz w:val="22"/>
        </w:rPr>
        <w:t>Quincena</w:t>
      </w:r>
    </w:p>
    <w:p>
      <w:pPr>
        <w:spacing w:before="0" w:after="80" w:line="259" w:lineRule="auto"/>
      </w:pPr>
      <w:r>
        <w:rPr>
          <w:rFonts w:ascii="Aptos" w:hAnsi="Aptos" w:eastAsia="Aptos"/>
          <w:color w:val="24344B"/>
          <w:sz w:val="19"/>
        </w:rPr>
        <w:t>Cada quincena se vende al precio establecido para la ruta seleccionada. Una quincena incluida dentro de un mensual conserva su venta individual para quien solo necesita ese periodo.</w:t>
      </w:r>
    </w:p>
    <w:p>
      <w:pPr>
        <w:keepNext/>
        <w:spacing w:before="120" w:after="60"/>
      </w:pPr>
      <w:r>
        <w:rPr>
          <w:rFonts w:ascii="Aptos Display" w:hAnsi="Aptos Display" w:eastAsia="Aptos Display"/>
          <w:b/>
          <w:color w:val="0E2F66"/>
          <w:sz w:val="22"/>
        </w:rPr>
        <w:t>Mes</w:t>
      </w:r>
    </w:p>
    <w:p>
      <w:pPr>
        <w:spacing w:before="0" w:after="80" w:line="259" w:lineRule="auto"/>
      </w:pPr>
      <w:r>
        <w:rPr>
          <w:rFonts w:ascii="Aptos" w:hAnsi="Aptos" w:eastAsia="Aptos"/>
          <w:color w:val="24344B"/>
          <w:sz w:val="19"/>
        </w:rPr>
        <w:t>El mensual ordinario reúne dos quincenas consecutivas. Cuando el archivo mensual siguiente contiene únicamente una quincena, ese archivo se incluye con el mensual anterior sin aumentar el precio. En la biblioteca permanece como descarga separada.</w:t>
      </w:r>
    </w:p>
    <w:p>
      <w:pPr>
        <w:keepNext/>
        <w:spacing w:before="120" w:after="60"/>
      </w:pPr>
      <w:r>
        <w:rPr>
          <w:rFonts w:ascii="Aptos Display" w:hAnsi="Aptos Display" w:eastAsia="Aptos Display"/>
          <w:b/>
          <w:color w:val="0E2F66"/>
          <w:sz w:val="22"/>
        </w:rPr>
        <w:t>Trimestre</w:t>
      </w:r>
    </w:p>
    <w:p>
      <w:pPr>
        <w:spacing w:before="0" w:after="80" w:line="259" w:lineRule="auto"/>
      </w:pPr>
      <w:r>
        <w:rPr>
          <w:rFonts w:ascii="Aptos" w:hAnsi="Aptos" w:eastAsia="Aptos"/>
          <w:color w:val="24344B"/>
          <w:sz w:val="19"/>
        </w:rPr>
        <w:t>El trimestre incluye todos los bloques del periodo. T1 utiliza un precio menor porque comprende 46 jornadas; T2 y T3 comparten escala porque su extensión es comparable, con 61 y 64 jornadas.</w:t>
      </w:r>
    </w:p>
    <w:p>
      <w:pPr>
        <w:keepNext/>
        <w:spacing w:before="120" w:after="60"/>
      </w:pPr>
      <w:r>
        <w:rPr>
          <w:rFonts w:ascii="Aptos Display" w:hAnsi="Aptos Display" w:eastAsia="Aptos Display"/>
          <w:b/>
          <w:color w:val="0E2F66"/>
          <w:sz w:val="22"/>
        </w:rPr>
        <w:t>Cierre anual</w:t>
      </w:r>
    </w:p>
    <w:p>
      <w:pPr>
        <w:spacing w:before="0" w:after="80" w:line="259" w:lineRule="auto"/>
      </w:pPr>
      <w:r>
        <w:rPr>
          <w:rFonts w:ascii="Aptos" w:hAnsi="Aptos" w:eastAsia="Aptos"/>
          <w:color w:val="24344B"/>
          <w:sz w:val="19"/>
        </w:rPr>
        <w:t>El cierre anual comprende 14 jornadas y se comercializa como un bloque especial. No se integra gratuitamente con el último mensual de T3. Sí forma parte del ciclo completo.</w:t>
      </w:r>
    </w:p>
    <w:p>
      <w:pPr>
        <w:keepNext/>
        <w:spacing w:before="120" w:after="60"/>
      </w:pPr>
      <w:r>
        <w:rPr>
          <w:rFonts w:ascii="Aptos Display" w:hAnsi="Aptos Display" w:eastAsia="Aptos Display"/>
          <w:b/>
          <w:color w:val="0E2F66"/>
          <w:sz w:val="22"/>
        </w:rPr>
        <w:t>Ciclo completo</w:t>
      </w:r>
    </w:p>
    <w:p>
      <w:pPr>
        <w:spacing w:before="0" w:after="80" w:line="259" w:lineRule="auto"/>
      </w:pPr>
      <w:r>
        <w:rPr>
          <w:rFonts w:ascii="Aptos" w:hAnsi="Aptos" w:eastAsia="Aptos"/>
          <w:color w:val="24344B"/>
          <w:sz w:val="19"/>
        </w:rPr>
        <w:t>Incluye los tres trimestres y el cierre anual para el mismo grado. Es la cobertura con el mayor ahorro y habilita todos los archivos de la ruta seleccionada.</w:t>
      </w:r>
    </w:p>
    <w:p>
      <w:r>
        <w:br w:type="page"/>
      </w:r>
    </w:p>
    <w:p>
      <w:pPr>
        <w:keepNext/>
        <w:spacing w:before="40" w:after="80"/>
        <w:pBdr>
          <w:bottom w:val="single" w:sz="10" w:space="4" w:color="5DB3F0"/>
        </w:pBdr>
      </w:pPr>
      <w:r>
        <w:rPr>
          <w:rFonts w:ascii="Aptos Display" w:hAnsi="Aptos Display" w:eastAsia="Aptos Display"/>
          <w:b/>
          <w:color w:val="00B7C3"/>
          <w:sz w:val="30"/>
        </w:rPr>
        <w:t xml:space="preserve">5  </w:t>
      </w:r>
      <w:r>
        <w:rPr>
          <w:rFonts w:ascii="Aptos Display" w:hAnsi="Aptos Display" w:eastAsia="Aptos Display"/>
          <w:b/>
          <w:color w:val="0E2F66"/>
          <w:sz w:val="32"/>
        </w:rPr>
        <w:t>Agrupación comercial de T1 y T2</w:t>
      </w:r>
    </w:p>
    <w:p>
      <w:pPr>
        <w:spacing w:after="140"/>
      </w:pPr>
      <w:r>
        <w:rPr>
          <w:rFonts w:ascii="Aptos" w:hAnsi="Aptos" w:eastAsia="Aptos"/>
          <w:i/>
          <w:color w:val="687386"/>
          <w:sz w:val="18"/>
        </w:rPr>
        <w:t>Los archivos permanecen separados; la compra mensual define cuáles se habilitan.</w:t>
      </w:r>
    </w:p>
    <w:p>
      <w:pPr>
        <w:keepNext/>
        <w:spacing w:before="120" w:after="60"/>
      </w:pPr>
      <w:r>
        <w:rPr>
          <w:rFonts w:ascii="Aptos Display" w:hAnsi="Aptos Display" w:eastAsia="Aptos Display"/>
          <w:b/>
          <w:color w:val="0E2F66"/>
          <w:sz w:val="22"/>
        </w:rPr>
        <w:t>Trimestre 1 · 46 jornadas</w:t>
      </w:r>
    </w:p>
    <w:tbl>
      <w:tblPr>
        <w:tblW w:type="dxa" w:w="9412"/>
        <w:jc w:val="center"/>
        <w:tblLayout w:type="fixed"/>
        <w:tblLook w:firstColumn="1" w:firstRow="1" w:lastColumn="0" w:lastRow="0" w:noHBand="0" w:noVBand="1" w:val="04A0"/>
      </w:tblPr>
      <w:tblGrid>
        <w:gridCol w:w="1984"/>
        <w:gridCol w:w="2438"/>
        <w:gridCol w:w="3969"/>
        <w:gridCol w:w="1021"/>
      </w:tblGrid>
      <w:tr>
        <w:trPr>
          <w:cantSplit/>
          <w:tblHeader w:val="true"/>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Compra mensual</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Archivos habilitados</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Quincenas cubiertas</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Jornadas</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M01</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M01</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T1_Q01 + T1_Q02</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18</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color w:val="24344B"/>
                <w:sz w:val="16"/>
              </w:rPr>
              <w:t>M02</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M02 + M03 incluido</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T1_Q03 + T1_Q04 + T1_Q05</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28</w:t>
            </w:r>
          </w:p>
        </w:tc>
      </w:tr>
    </w:tbl>
    <w:tbl>
      <w:tblPr>
        <w:tblW w:type="dxa" w:w="9412"/>
        <w:jc w:val="center"/>
        <w:tblLayout w:type="fixed"/>
        <w:tblLook w:firstColumn="1" w:firstRow="1" w:lastColumn="0" w:lastRow="0" w:noHBand="0" w:noVBand="1" w:val="04A0"/>
      </w:tblPr>
      <w:tblGrid>
        <w:gridCol w:w="142"/>
        <w:gridCol w:w="9270"/>
      </w:tblGrid>
      <w:tr>
        <w:tc>
          <w:tcPr>
            <w:tcW w:type="dxa" w:w="142"/>
            <w:shd w:fill="00B7C3"/>
            <w:tcBorders>
              <w:top w:val="nil"/>
              <w:left w:val="nil"/>
              <w:bottom w:val="nil"/>
              <w:right w:val="nil"/>
            </w:tcBorders>
            <w:tcMar>
              <w:top w:w="0" w:type="dxa"/>
              <w:start w:w="0" w:type="dxa"/>
              <w:bottom w:w="0" w:type="dxa"/>
              <w:end w:w="0" w:type="dxa"/>
            </w:tcMar>
          </w:tcPr>
          <w:p/>
        </w:tc>
        <w:tc>
          <w:tcPr>
            <w:tcW w:type="dxa" w:w="9270"/>
            <w:shd w:fill="EAFBFB"/>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Regla de M03 en T1</w:t>
            </w:r>
          </w:p>
          <w:p>
            <w:pPr>
              <w:spacing w:after="0" w:line="252" w:lineRule="auto"/>
            </w:pPr>
            <w:r>
              <w:rPr>
                <w:rFonts w:ascii="Aptos" w:hAnsi="Aptos" w:eastAsia="Aptos"/>
                <w:color w:val="24344B"/>
                <w:sz w:val="19"/>
              </w:rPr>
              <w:t>M03 se incluye sin costo adicional al adquirir M02 bajo cobertura mensual. T1_Q05 mantiene su precio normal cuando se compra como quincena.</w:t>
            </w:r>
          </w:p>
        </w:tc>
      </w:tr>
    </w:tbl>
    <w:p>
      <w:pPr>
        <w:spacing w:after="0"/>
      </w:pPr>
    </w:p>
    <w:p>
      <w:pPr>
        <w:keepNext/>
        <w:spacing w:before="120" w:after="60"/>
      </w:pPr>
      <w:r>
        <w:rPr>
          <w:rFonts w:ascii="Aptos Display" w:hAnsi="Aptos Display" w:eastAsia="Aptos Display"/>
          <w:b/>
          <w:color w:val="0E2F66"/>
          <w:sz w:val="22"/>
        </w:rPr>
        <w:t>Trimestre 2 · 61 jornadas</w:t>
      </w:r>
    </w:p>
    <w:tbl>
      <w:tblPr>
        <w:tblW w:type="dxa" w:w="9412"/>
        <w:jc w:val="center"/>
        <w:tblLayout w:type="fixed"/>
        <w:tblLook w:firstColumn="1" w:firstRow="1" w:lastColumn="0" w:lastRow="0" w:noHBand="0" w:noVBand="1" w:val="04A0"/>
      </w:tblPr>
      <w:tblGrid>
        <w:gridCol w:w="1984"/>
        <w:gridCol w:w="2438"/>
        <w:gridCol w:w="3969"/>
        <w:gridCol w:w="1021"/>
      </w:tblGrid>
      <w:tr>
        <w:trPr>
          <w:cantSplit/>
          <w:tblHeader w:val="true"/>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Compra mensual</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Archivos habilitados</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Quincenas cubiertas</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Jornadas</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M01</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M01</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T2_Q01 + T2_Q02</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17</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M02</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M02</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T2_Q03 + T2_Q04</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17</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color w:val="24344B"/>
                <w:sz w:val="16"/>
              </w:rPr>
              <w:t>M03</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M03 + cierre trimestral incluido</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T2_Q05 + T2_Q06 + T2_Q07</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27</w:t>
            </w:r>
          </w:p>
        </w:tc>
      </w:tr>
    </w:tbl>
    <w:p>
      <w:pPr>
        <w:spacing w:before="0" w:after="0" w:line="259" w:lineRule="auto"/>
      </w:pPr>
      <w:r>
        <w:rPr>
          <w:rFonts w:ascii="Aptos" w:hAnsi="Aptos" w:eastAsia="Aptos"/>
          <w:color w:val="24344B"/>
          <w:sz w:val="19"/>
        </w:rPr>
        <w:t>T2_Q07 conserva su venta quincenal. Bajo cobertura mensual, el cierre trimestral se habilita con M03 y no aparece como un cuarto mes independiente.</w:t>
      </w:r>
    </w:p>
    <w:p>
      <w:r>
        <w:br w:type="page"/>
      </w:r>
    </w:p>
    <w:p>
      <w:pPr>
        <w:keepNext/>
        <w:spacing w:before="40" w:after="80"/>
        <w:pBdr>
          <w:bottom w:val="single" w:sz="10" w:space="4" w:color="5DB3F0"/>
        </w:pBdr>
      </w:pPr>
      <w:r>
        <w:rPr>
          <w:rFonts w:ascii="Aptos Display" w:hAnsi="Aptos Display" w:eastAsia="Aptos Display"/>
          <w:b/>
          <w:color w:val="00B7C3"/>
          <w:sz w:val="30"/>
        </w:rPr>
        <w:t xml:space="preserve">6  </w:t>
      </w:r>
      <w:r>
        <w:rPr>
          <w:rFonts w:ascii="Aptos Display" w:hAnsi="Aptos Display" w:eastAsia="Aptos Display"/>
          <w:b/>
          <w:color w:val="0E2F66"/>
          <w:sz w:val="32"/>
        </w:rPr>
        <w:t>Agrupación de T3 y cierre anual</w:t>
      </w:r>
    </w:p>
    <w:p>
      <w:pPr>
        <w:spacing w:after="140"/>
      </w:pPr>
      <w:r>
        <w:rPr>
          <w:rFonts w:ascii="Aptos" w:hAnsi="Aptos" w:eastAsia="Aptos"/>
          <w:i/>
          <w:color w:val="687386"/>
          <w:sz w:val="18"/>
        </w:rPr>
        <w:t>El último mensual incluye el cierre trimestral, pero no absorbe el bloque final del ciclo.</w:t>
      </w:r>
    </w:p>
    <w:p>
      <w:pPr>
        <w:keepNext/>
        <w:spacing w:before="120" w:after="60"/>
      </w:pPr>
      <w:r>
        <w:rPr>
          <w:rFonts w:ascii="Aptos Display" w:hAnsi="Aptos Display" w:eastAsia="Aptos Display"/>
          <w:b/>
          <w:color w:val="0E2F66"/>
          <w:sz w:val="22"/>
        </w:rPr>
        <w:t>Trimestre 3 · 64 jornadas</w:t>
      </w:r>
    </w:p>
    <w:tbl>
      <w:tblPr>
        <w:tblW w:type="dxa" w:w="9412"/>
        <w:jc w:val="center"/>
        <w:tblLayout w:type="fixed"/>
        <w:tblLook w:firstColumn="1" w:firstRow="1" w:lastColumn="0" w:lastRow="0" w:noHBand="0" w:noVBand="1" w:val="04A0"/>
      </w:tblPr>
      <w:tblGrid>
        <w:gridCol w:w="1984"/>
        <w:gridCol w:w="2438"/>
        <w:gridCol w:w="3969"/>
        <w:gridCol w:w="1021"/>
      </w:tblGrid>
      <w:tr>
        <w:trPr>
          <w:cantSplit/>
          <w:tblHeader w:val="true"/>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Compra mensual</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Archivos habilitados</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Quincenas cubiertas</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Jornadas</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M01</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M01</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T3_Q01 + T3_Q02</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18</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M02</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M02</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T3_Q03 + T3_Q04</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18</w:t>
            </w:r>
          </w:p>
        </w:tc>
      </w:tr>
      <w:tr>
        <w:trPr>
          <w:cantSplit/>
        </w:trPr>
        <w:tc>
          <w:tcPr>
            <w:tcW w:type="dxa" w:w="1984"/>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color w:val="24344B"/>
                <w:sz w:val="16"/>
              </w:rPr>
              <w:t>M03</w:t>
            </w:r>
          </w:p>
        </w:tc>
        <w:tc>
          <w:tcPr>
            <w:tcW w:type="dxa" w:w="2438"/>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M03 + cierre trimestral incluido</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T3_Q05 + T3_Q06 + T3_Q07</w:t>
            </w:r>
          </w:p>
        </w:tc>
        <w:tc>
          <w:tcPr>
            <w:tcW w:type="dxa" w:w="102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pPr>
            <w:r>
              <w:rPr>
                <w:rFonts w:ascii="Aptos" w:hAnsi="Aptos" w:eastAsia="Aptos"/>
                <w:b w:val="0"/>
                <w:color w:val="24344B"/>
                <w:sz w:val="16"/>
              </w:rPr>
              <w:t>28</w:t>
            </w:r>
          </w:p>
        </w:tc>
      </w:tr>
    </w:tbl>
    <w:p>
      <w:pPr>
        <w:spacing w:before="0" w:after="140" w:line="259" w:lineRule="auto"/>
      </w:pPr>
      <w:r>
        <w:rPr>
          <w:rFonts w:ascii="Aptos" w:hAnsi="Aptos" w:eastAsia="Aptos"/>
          <w:color w:val="24344B"/>
          <w:sz w:val="19"/>
        </w:rPr>
        <w:t>T3_Q07 conserva su venta quincenal. Bajo cobertura mensual, el cierre trimestral se habilita con M03 y permanece como archivo independiente.</w:t>
      </w:r>
    </w:p>
    <w:p>
      <w:pPr>
        <w:keepNext/>
        <w:spacing w:before="120" w:after="60"/>
      </w:pPr>
      <w:r>
        <w:rPr>
          <w:rFonts w:ascii="Aptos Display" w:hAnsi="Aptos Display" w:eastAsia="Aptos Display"/>
          <w:b/>
          <w:color w:val="0E2F66"/>
          <w:sz w:val="22"/>
        </w:rPr>
        <w:t>Cierre anual · 14 jornadas</w:t>
      </w:r>
    </w:p>
    <w:tbl>
      <w:tblPr>
        <w:tblW w:type="dxa" w:w="9412"/>
        <w:jc w:val="center"/>
        <w:tblLayout w:type="fixed"/>
        <w:tblLook w:firstColumn="1" w:firstRow="1" w:lastColumn="0" w:lastRow="0" w:noHBand="0" w:noVBand="1" w:val="04A0"/>
      </w:tblPr>
      <w:tblGrid>
        <w:gridCol w:w="142"/>
        <w:gridCol w:w="9270"/>
      </w:tblGrid>
      <w:tr>
        <w:tc>
          <w:tcPr>
            <w:tcW w:type="dxa" w:w="142"/>
            <w:shd w:fill="E97867"/>
            <w:tcBorders>
              <w:top w:val="nil"/>
              <w:left w:val="nil"/>
              <w:bottom w:val="nil"/>
              <w:right w:val="nil"/>
            </w:tcBorders>
            <w:tcMar>
              <w:top w:w="0" w:type="dxa"/>
              <w:start w:w="0" w:type="dxa"/>
              <w:bottom w:w="0" w:type="dxa"/>
              <w:end w:w="0" w:type="dxa"/>
            </w:tcMar>
          </w:tcPr>
          <w:p/>
        </w:tc>
        <w:tc>
          <w:tcPr>
            <w:tcW w:type="dxa" w:w="9270"/>
            <w:shd w:fill="FDF0ED"/>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Bloque especial</w:t>
            </w:r>
          </w:p>
          <w:p>
            <w:pPr>
              <w:spacing w:after="0" w:line="252" w:lineRule="auto"/>
            </w:pPr>
            <w:r>
              <w:rPr>
                <w:rFonts w:ascii="Aptos" w:hAnsi="Aptos" w:eastAsia="Aptos"/>
                <w:color w:val="24344B"/>
                <w:sz w:val="19"/>
              </w:rPr>
              <w:t>El cierre anual integra retroalimentación final, portafolio, continuidad y despedida. Su extensión supera una quincena regular, por lo que cuenta con precio propio y se incluye automáticamente en el ciclo completo.</w:t>
            </w:r>
          </w:p>
        </w:tc>
      </w:tr>
    </w:tbl>
    <w:p>
      <w:pPr>
        <w:spacing w:after="0"/>
      </w:pPr>
    </w:p>
    <w:tbl>
      <w:tblPr>
        <w:tblW w:type="dxa" w:w="9412"/>
        <w:jc w:val="center"/>
        <w:tblLayout w:type="fixed"/>
        <w:tblLook w:firstColumn="1" w:firstRow="1" w:lastColumn="0" w:lastRow="0" w:noHBand="0" w:noVBand="1" w:val="04A0"/>
      </w:tblPr>
      <w:tblGrid>
        <w:gridCol w:w="2041"/>
        <w:gridCol w:w="3969"/>
        <w:gridCol w:w="3402"/>
      </w:tblGrid>
      <w:tr>
        <w:trPr>
          <w:cantSplit/>
          <w:tblHeader w:val="true"/>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Cobertura</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Contenido</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Regla comercial</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Cierre anual</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21 de junio al 9 de julio · 14 jornadas</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Compra independiente con precio especial</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Ciclo completo</w:t>
            </w:r>
          </w:p>
        </w:tc>
        <w:tc>
          <w:tcPr>
            <w:tcW w:type="dxa" w:w="396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T1 + T2 + T3 + cierre anual</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Incluido dentro del precio del ciclo</w:t>
            </w:r>
          </w:p>
        </w:tc>
      </w:tr>
    </w:tbl>
    <w:p>
      <w:pPr>
        <w:keepNext/>
        <w:spacing w:before="120" w:after="60"/>
      </w:pPr>
      <w:r>
        <w:rPr>
          <w:rFonts w:ascii="Aptos Display" w:hAnsi="Aptos Display" w:eastAsia="Aptos Display"/>
          <w:b/>
          <w:color w:val="0E2F66"/>
          <w:sz w:val="22"/>
        </w:rPr>
        <w:t>Entrega de archivos</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Cada archivo conserva su nombre, formato y organización.</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La biblioteca muestra todos los archivos habilitados por la compra.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Los archivos incluidos se identifican con la leyenda «Incluido» y un precio de $0 dentro del resumen.</w:t>
      </w:r>
    </w:p>
    <w:p>
      <w:r>
        <w:br w:type="page"/>
      </w:r>
    </w:p>
    <w:p>
      <w:pPr>
        <w:keepNext/>
        <w:spacing w:before="40" w:after="80"/>
        <w:pBdr>
          <w:bottom w:val="single" w:sz="10" w:space="4" w:color="5DB3F0"/>
        </w:pBdr>
      </w:pPr>
      <w:r>
        <w:rPr>
          <w:rFonts w:ascii="Aptos Display" w:hAnsi="Aptos Display" w:eastAsia="Aptos Display"/>
          <w:b/>
          <w:color w:val="00B7C3"/>
          <w:sz w:val="30"/>
        </w:rPr>
        <w:t xml:space="preserve">7  </w:t>
      </w:r>
      <w:r>
        <w:rPr>
          <w:rFonts w:ascii="Aptos Display" w:hAnsi="Aptos Display" w:eastAsia="Aptos Display"/>
          <w:b/>
          <w:color w:val="0E2F66"/>
          <w:sz w:val="32"/>
        </w:rPr>
        <w:t>Precios públicos 2026-2027</w:t>
      </w:r>
    </w:p>
    <w:p>
      <w:pPr>
        <w:spacing w:after="140"/>
      </w:pPr>
      <w:r>
        <w:rPr>
          <w:rFonts w:ascii="Aptos" w:hAnsi="Aptos" w:eastAsia="Aptos"/>
          <w:i/>
          <w:color w:val="687386"/>
          <w:sz w:val="18"/>
        </w:rPr>
        <w:t>Pesos mexicanos · precio por grado · licencia docente individual.</w:t>
      </w:r>
    </w:p>
    <w:tbl>
      <w:tblPr>
        <w:tblW w:type="dxa" w:w="9412"/>
        <w:jc w:val="center"/>
        <w:tblLayout w:type="fixed"/>
        <w:tblLook w:firstColumn="1" w:firstRow="1" w:lastColumn="0" w:lastRow="0" w:noHBand="0" w:noVBand="1" w:val="04A0"/>
      </w:tblPr>
      <w:tblGrid>
        <w:gridCol w:w="142"/>
        <w:gridCol w:w="9270"/>
      </w:tblGrid>
      <w:tr>
        <w:tc>
          <w:tcPr>
            <w:tcW w:type="dxa" w:w="142"/>
            <w:shd w:fill="5DB3F0"/>
            <w:tcBorders>
              <w:top w:val="nil"/>
              <w:left w:val="nil"/>
              <w:bottom w:val="nil"/>
              <w:right w:val="nil"/>
            </w:tcBorders>
            <w:tcMar>
              <w:top w:w="0" w:type="dxa"/>
              <w:start w:w="0" w:type="dxa"/>
              <w:bottom w:w="0" w:type="dxa"/>
              <w:end w:w="0" w:type="dxa"/>
            </w:tcMar>
          </w:tcPr>
          <w:p/>
        </w:tc>
        <w:tc>
          <w:tcPr>
            <w:tcW w:type="dxa" w:w="9270"/>
            <w:shd w:fill="EDF7FD"/>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Criterio de precio</w:t>
            </w:r>
          </w:p>
          <w:p>
            <w:pPr>
              <w:spacing w:after="0" w:line="252" w:lineRule="auto"/>
            </w:pPr>
            <w:r>
              <w:rPr>
                <w:rFonts w:ascii="Aptos" w:hAnsi="Aptos" w:eastAsia="Aptos"/>
                <w:color w:val="24344B"/>
                <w:sz w:val="19"/>
              </w:rPr>
              <w:t>La quincena mantiene una entrada accesible; el mes ofrece ahorro; T1 refleja su menor extensión; T2 y T3 comparten escala; el cierre anual tiene precio especial; el ciclo completo concentra el mayor beneficio.</w:t>
            </w:r>
          </w:p>
        </w:tc>
      </w:tr>
    </w:tbl>
    <w:p>
      <w:pPr>
        <w:spacing w:after="0"/>
      </w:pPr>
    </w:p>
    <w:tbl>
      <w:tblPr>
        <w:tblW w:type="dxa" w:w="9412"/>
        <w:jc w:val="center"/>
        <w:tblLayout w:type="fixed"/>
        <w:tblLook w:firstColumn="1" w:firstRow="1" w:lastColumn="0" w:lastRow="0" w:noHBand="0" w:noVBand="1" w:val="04A0"/>
      </w:tblPr>
      <w:tblGrid>
        <w:gridCol w:w="2041"/>
        <w:gridCol w:w="1786"/>
        <w:gridCol w:w="1786"/>
        <w:gridCol w:w="2013"/>
        <w:gridCol w:w="1786"/>
      </w:tblGrid>
      <w:tr>
        <w:trPr>
          <w:cantSplit/>
          <w:tblHeader w:val="true"/>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left"/>
            </w:pPr>
            <w:r>
              <w:rPr>
                <w:rFonts w:ascii="Aptos" w:hAnsi="Aptos" w:eastAsia="Aptos"/>
                <w:b/>
                <w:color w:val="FFFFFF"/>
                <w:sz w:val="16"/>
              </w:rPr>
              <w:t>Cobertura</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Ruta Base</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Ruta Visual</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Ruta Seguimiento</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jc w:val="center"/>
            </w:pPr>
            <w:r>
              <w:rPr>
                <w:rFonts w:ascii="Aptos" w:hAnsi="Aptos" w:eastAsia="Aptos"/>
                <w:b/>
                <w:color w:val="FFFFFF"/>
                <w:sz w:val="16"/>
              </w:rPr>
              <w:t>Ruta Integral</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left"/>
            </w:pPr>
            <w:r>
              <w:rPr>
                <w:rFonts w:ascii="Aptos" w:hAnsi="Aptos" w:eastAsia="Aptos"/>
                <w:b/>
                <w:color w:val="24344B"/>
                <w:sz w:val="16"/>
              </w:rPr>
              <w:t>Quincena</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$99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jc w:val="center"/>
            </w:pPr>
            <w:r>
              <w:rPr>
                <w:rFonts w:ascii="Aptos" w:hAnsi="Aptos" w:eastAsia="Aptos"/>
                <w:b w:val="0"/>
                <w:color w:val="24344B"/>
                <w:sz w:val="16"/>
              </w:rPr>
              <w:t>$139</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$169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jc w:val="center"/>
            </w:pPr>
            <w:r>
              <w:rPr>
                <w:rFonts w:ascii="Aptos" w:hAnsi="Aptos" w:eastAsia="Aptos"/>
                <w:b w:val="0"/>
                <w:color w:val="24344B"/>
                <w:sz w:val="16"/>
              </w:rPr>
              <w:t>$199</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left"/>
            </w:pPr>
            <w:r>
              <w:rPr>
                <w:rFonts w:ascii="Aptos" w:hAnsi="Aptos" w:eastAsia="Aptos"/>
                <w:b/>
                <w:color w:val="24344B"/>
                <w:sz w:val="16"/>
              </w:rPr>
              <w:t>Mes</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$179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jc w:val="center"/>
            </w:pPr>
            <w:r>
              <w:rPr>
                <w:rFonts w:ascii="Aptos" w:hAnsi="Aptos" w:eastAsia="Aptos"/>
                <w:b w:val="0"/>
                <w:color w:val="24344B"/>
                <w:sz w:val="16"/>
              </w:rPr>
              <w:t>$249</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$299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jc w:val="center"/>
            </w:pPr>
            <w:r>
              <w:rPr>
                <w:rFonts w:ascii="Aptos" w:hAnsi="Aptos" w:eastAsia="Aptos"/>
                <w:b w:val="0"/>
                <w:color w:val="24344B"/>
                <w:sz w:val="16"/>
              </w:rPr>
              <w:t>$349</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left"/>
            </w:pPr>
            <w:r>
              <w:rPr>
                <w:rFonts w:ascii="Aptos" w:hAnsi="Aptos" w:eastAsia="Aptos"/>
                <w:b/>
                <w:color w:val="24344B"/>
                <w:sz w:val="16"/>
              </w:rPr>
              <w:t>Trimestre 1</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$339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jc w:val="center"/>
            </w:pPr>
            <w:r>
              <w:rPr>
                <w:rFonts w:ascii="Aptos" w:hAnsi="Aptos" w:eastAsia="Aptos"/>
                <w:b w:val="0"/>
                <w:color w:val="24344B"/>
                <w:sz w:val="16"/>
              </w:rPr>
              <w:t>$469</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$569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jc w:val="center"/>
            </w:pPr>
            <w:r>
              <w:rPr>
                <w:rFonts w:ascii="Aptos" w:hAnsi="Aptos" w:eastAsia="Aptos"/>
                <w:b w:val="0"/>
                <w:color w:val="24344B"/>
                <w:sz w:val="16"/>
              </w:rPr>
              <w:t>$659</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left"/>
            </w:pPr>
            <w:r>
              <w:rPr>
                <w:rFonts w:ascii="Aptos" w:hAnsi="Aptos" w:eastAsia="Aptos"/>
                <w:b/>
                <w:color w:val="24344B"/>
                <w:sz w:val="16"/>
              </w:rPr>
              <w:t>Trimestre 2</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$489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jc w:val="center"/>
            </w:pPr>
            <w:r>
              <w:rPr>
                <w:rFonts w:ascii="Aptos" w:hAnsi="Aptos" w:eastAsia="Aptos"/>
                <w:b w:val="0"/>
                <w:color w:val="24344B"/>
                <w:sz w:val="16"/>
              </w:rPr>
              <w:t>$679</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$819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jc w:val="center"/>
            </w:pPr>
            <w:r>
              <w:rPr>
                <w:rFonts w:ascii="Aptos" w:hAnsi="Aptos" w:eastAsia="Aptos"/>
                <w:b w:val="0"/>
                <w:color w:val="24344B"/>
                <w:sz w:val="16"/>
              </w:rPr>
              <w:t>$949</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left"/>
            </w:pPr>
            <w:r>
              <w:rPr>
                <w:rFonts w:ascii="Aptos" w:hAnsi="Aptos" w:eastAsia="Aptos"/>
                <w:b/>
                <w:color w:val="24344B"/>
                <w:sz w:val="16"/>
              </w:rPr>
              <w:t>Trimestre 3</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$489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jc w:val="center"/>
            </w:pPr>
            <w:r>
              <w:rPr>
                <w:rFonts w:ascii="Aptos" w:hAnsi="Aptos" w:eastAsia="Aptos"/>
                <w:b w:val="0"/>
                <w:color w:val="24344B"/>
                <w:sz w:val="16"/>
              </w:rPr>
              <w:t>$679</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jc w:val="center"/>
            </w:pPr>
            <w:r>
              <w:rPr>
                <w:rFonts w:ascii="Aptos" w:hAnsi="Aptos" w:eastAsia="Aptos"/>
                <w:b w:val="0"/>
                <w:color w:val="24344B"/>
                <w:sz w:val="16"/>
              </w:rPr>
              <w:t>$819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jc w:val="center"/>
            </w:pPr>
            <w:r>
              <w:rPr>
                <w:rFonts w:ascii="Aptos" w:hAnsi="Aptos" w:eastAsia="Aptos"/>
                <w:b w:val="0"/>
                <w:color w:val="24344B"/>
                <w:sz w:val="16"/>
              </w:rPr>
              <w:t>$949</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left"/>
            </w:pPr>
            <w:r>
              <w:rPr>
                <w:rFonts w:ascii="Aptos" w:hAnsi="Aptos" w:eastAsia="Aptos"/>
                <w:b/>
                <w:color w:val="24344B"/>
                <w:sz w:val="16"/>
              </w:rPr>
              <w:t>Cierre anual</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$159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EAFBFB"/>
          </w:tcPr>
          <w:p>
            <w:pPr>
              <w:spacing w:after="0" w:line="240" w:lineRule="auto"/>
              <w:jc w:val="center"/>
            </w:pPr>
            <w:r>
              <w:rPr>
                <w:rFonts w:ascii="Aptos" w:hAnsi="Aptos" w:eastAsia="Aptos"/>
                <w:b w:val="0"/>
                <w:color w:val="24344B"/>
                <w:sz w:val="16"/>
              </w:rPr>
              <w:t>$219</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jc w:val="center"/>
            </w:pPr>
            <w:r>
              <w:rPr>
                <w:rFonts w:ascii="Aptos" w:hAnsi="Aptos" w:eastAsia="Aptos"/>
                <w:b w:val="0"/>
                <w:color w:val="24344B"/>
                <w:sz w:val="16"/>
              </w:rPr>
              <w:t>$269</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4EFFC"/>
          </w:tcPr>
          <w:p>
            <w:pPr>
              <w:spacing w:after="0" w:line="240" w:lineRule="auto"/>
              <w:jc w:val="center"/>
            </w:pPr>
            <w:r>
              <w:rPr>
                <w:rFonts w:ascii="Aptos" w:hAnsi="Aptos" w:eastAsia="Aptos"/>
                <w:b w:val="0"/>
                <w:color w:val="24344B"/>
                <w:sz w:val="16"/>
              </w:rPr>
              <w:t>$319</w:t>
            </w:r>
          </w:p>
        </w:tc>
      </w:tr>
      <w:tr>
        <w:trPr>
          <w:cantSplit/>
        </w:trPr>
        <w:tc>
          <w:tcPr>
            <w:tcW w:type="dxa" w:w="204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DF0ED"/>
          </w:tcPr>
          <w:p>
            <w:pPr>
              <w:spacing w:after="0" w:line="240" w:lineRule="auto"/>
              <w:jc w:val="left"/>
            </w:pPr>
            <w:r>
              <w:rPr>
                <w:rFonts w:ascii="Aptos" w:hAnsi="Aptos" w:eastAsia="Aptos"/>
                <w:b/>
                <w:color w:val="24344B"/>
                <w:sz w:val="16"/>
              </w:rPr>
              <w:t>Ciclo completo</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DF0ED"/>
          </w:tcPr>
          <w:p>
            <w:pPr>
              <w:spacing w:after="0" w:line="240" w:lineRule="auto"/>
              <w:jc w:val="center"/>
            </w:pPr>
            <w:r>
              <w:rPr>
                <w:rFonts w:ascii="Aptos" w:hAnsi="Aptos" w:eastAsia="Aptos"/>
                <w:b w:val="0"/>
                <w:color w:val="24344B"/>
                <w:sz w:val="16"/>
              </w:rPr>
              <w:t>$1,190</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DF0ED"/>
          </w:tcPr>
          <w:p>
            <w:pPr>
              <w:spacing w:after="0" w:line="240" w:lineRule="auto"/>
              <w:jc w:val="center"/>
            </w:pPr>
            <w:r>
              <w:rPr>
                <w:rFonts w:ascii="Aptos" w:hAnsi="Aptos" w:eastAsia="Aptos"/>
                <w:b w:val="0"/>
                <w:color w:val="24344B"/>
                <w:sz w:val="16"/>
              </w:rPr>
              <w:t>$1,590</w:t>
            </w:r>
          </w:p>
        </w:tc>
        <w:tc>
          <w:tcPr>
            <w:tcW w:type="dxa" w:w="2013"/>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DF0ED"/>
          </w:tcPr>
          <w:p>
            <w:pPr>
              <w:spacing w:after="0" w:line="240" w:lineRule="auto"/>
              <w:jc w:val="center"/>
            </w:pPr>
            <w:r>
              <w:rPr>
                <w:rFonts w:ascii="Aptos" w:hAnsi="Aptos" w:eastAsia="Aptos"/>
                <w:b w:val="0"/>
                <w:color w:val="24344B"/>
                <w:sz w:val="16"/>
              </w:rPr>
              <w:t>$1,890</w:t>
            </w:r>
          </w:p>
        </w:tc>
        <w:tc>
          <w:tcPr>
            <w:tcW w:type="dxa" w:w="178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DF0ED"/>
          </w:tcPr>
          <w:p>
            <w:pPr>
              <w:spacing w:after="0" w:line="240" w:lineRule="auto"/>
              <w:jc w:val="center"/>
            </w:pPr>
            <w:r>
              <w:rPr>
                <w:rFonts w:ascii="Aptos" w:hAnsi="Aptos" w:eastAsia="Aptos"/>
                <w:b w:val="0"/>
                <w:color w:val="24344B"/>
                <w:sz w:val="16"/>
              </w:rPr>
              <w:t>$2,190</w:t>
            </w:r>
          </w:p>
        </w:tc>
      </w:tr>
    </w:tbl>
    <w:p>
      <w:pPr>
        <w:keepNext/>
        <w:spacing w:before="120" w:after="60"/>
      </w:pPr>
      <w:r>
        <w:rPr>
          <w:rFonts w:ascii="Aptos Display" w:hAnsi="Aptos Display" w:eastAsia="Aptos Display"/>
          <w:b/>
          <w:color w:val="0E2F66"/>
          <w:sz w:val="22"/>
        </w:rPr>
        <w:t>Lectura de la escala</w:t>
      </w:r>
    </w:p>
    <w:tbl>
      <w:tblPr>
        <w:tblW w:type="dxa" w:w="9412"/>
        <w:jc w:val="center"/>
        <w:tblLayout w:type="fixed"/>
        <w:tblLook w:firstColumn="1" w:firstRow="1" w:lastColumn="0" w:lastRow="0" w:noHBand="0" w:noVBand="1" w:val="04A0"/>
      </w:tblPr>
      <w:tblGrid>
        <w:gridCol w:w="2722"/>
        <w:gridCol w:w="3175"/>
        <w:gridCol w:w="3515"/>
      </w:tblGrid>
      <w:tr>
        <w:trPr>
          <w:cantSplit/>
          <w:tblHeader w:val="true"/>
        </w:trPr>
        <w:tc>
          <w:tcPr>
            <w:tcW w:type="dxa" w:w="272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Nivel</w:t>
            </w:r>
          </w:p>
        </w:tc>
        <w:tc>
          <w:tcPr>
            <w:tcW w:type="dxa" w:w="317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Comparación</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Beneficio</w:t>
            </w:r>
          </w:p>
        </w:tc>
      </w:tr>
      <w:tr>
        <w:trPr>
          <w:cantSplit/>
        </w:trPr>
        <w:tc>
          <w:tcPr>
            <w:tcW w:type="dxa" w:w="272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Mes ordinario</w:t>
            </w:r>
          </w:p>
        </w:tc>
        <w:tc>
          <w:tcPr>
            <w:tcW w:type="dxa" w:w="317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Frente a dos quincenas</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Ahorro de $19 a $49, según la ruta</w:t>
            </w:r>
          </w:p>
        </w:tc>
      </w:tr>
      <w:tr>
        <w:trPr>
          <w:cantSplit/>
        </w:trPr>
        <w:tc>
          <w:tcPr>
            <w:tcW w:type="dxa" w:w="272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Mes con bloque incluido</w:t>
            </w:r>
          </w:p>
        </w:tc>
        <w:tc>
          <w:tcPr>
            <w:tcW w:type="dxa" w:w="317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Dos quincenas + tramo corto</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El bloque corto se habilita sin aumento de precio</w:t>
            </w:r>
          </w:p>
        </w:tc>
      </w:tr>
      <w:tr>
        <w:trPr>
          <w:cantSplit/>
        </w:trPr>
        <w:tc>
          <w:tcPr>
            <w:tcW w:type="dxa" w:w="272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Trimestre 1</w:t>
            </w:r>
          </w:p>
        </w:tc>
        <w:tc>
          <w:tcPr>
            <w:tcW w:type="dxa" w:w="317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Frente a dos compras mensuales</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Ahorro adicional moderado</w:t>
            </w:r>
          </w:p>
        </w:tc>
      </w:tr>
      <w:tr>
        <w:trPr>
          <w:cantSplit/>
        </w:trPr>
        <w:tc>
          <w:tcPr>
            <w:tcW w:type="dxa" w:w="272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Trimestre 2 o 3</w:t>
            </w:r>
          </w:p>
        </w:tc>
        <w:tc>
          <w:tcPr>
            <w:tcW w:type="dxa" w:w="317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Frente a tres compras mensuales</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Ahorro aproximado de 9 % a 10 %</w:t>
            </w:r>
          </w:p>
        </w:tc>
      </w:tr>
      <w:tr>
        <w:trPr>
          <w:cantSplit/>
        </w:trPr>
        <w:tc>
          <w:tcPr>
            <w:tcW w:type="dxa" w:w="272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Ciclo completo</w:t>
            </w:r>
          </w:p>
        </w:tc>
        <w:tc>
          <w:tcPr>
            <w:tcW w:type="dxa" w:w="317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Frente a trimestres + cierre</w:t>
            </w:r>
          </w:p>
        </w:tc>
        <w:tc>
          <w:tcPr>
            <w:tcW w:type="dxa" w:w="351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Mayor ahorro: aproximadamente 19 % a 24 %</w:t>
            </w:r>
          </w:p>
        </w:tc>
      </w:tr>
    </w:tbl>
    <w:p>
      <w:pPr>
        <w:spacing w:before="0" w:after="0" w:line="259" w:lineRule="auto"/>
      </w:pPr>
      <w:r>
        <w:rPr>
          <w:rFonts w:ascii="Aptos" w:hAnsi="Aptos" w:eastAsia="Aptos"/>
          <w:color w:val="24344B"/>
          <w:sz w:val="18"/>
        </w:rPr>
        <w:t>Los paquetes que ya incluyen un tramo corto no acumulan descuentos automáticos adicionales, salvo campañas autorizadas. El precio final debe mostrarse antes del pago.</w:t>
      </w:r>
    </w:p>
    <w:p>
      <w:r>
        <w:br w:type="page"/>
      </w:r>
    </w:p>
    <w:p>
      <w:pPr>
        <w:keepNext/>
        <w:spacing w:before="40" w:after="80"/>
        <w:pBdr>
          <w:bottom w:val="single" w:sz="10" w:space="4" w:color="5DB3F0"/>
        </w:pBdr>
      </w:pPr>
      <w:r>
        <w:rPr>
          <w:rFonts w:ascii="Aptos Display" w:hAnsi="Aptos Display" w:eastAsia="Aptos Display"/>
          <w:b/>
          <w:color w:val="00B7C3"/>
          <w:sz w:val="30"/>
        </w:rPr>
        <w:t xml:space="preserve">8  </w:t>
      </w:r>
      <w:r>
        <w:rPr>
          <w:rFonts w:ascii="Aptos Display" w:hAnsi="Aptos Display" w:eastAsia="Aptos Display"/>
          <w:b/>
          <w:color w:val="0E2F66"/>
          <w:sz w:val="32"/>
        </w:rPr>
        <w:t>Ampliaciones, créditos y promociones</w:t>
      </w:r>
    </w:p>
    <w:p>
      <w:pPr>
        <w:spacing w:after="140"/>
      </w:pPr>
      <w:r>
        <w:rPr>
          <w:rFonts w:ascii="Aptos" w:hAnsi="Aptos" w:eastAsia="Aptos"/>
          <w:i/>
          <w:color w:val="687386"/>
          <w:sz w:val="18"/>
        </w:rPr>
        <w:t>El cliente puede ampliar su compra sin volver a pagar por el mismo grado y periodo.</w:t>
      </w:r>
    </w:p>
    <w:p>
      <w:pPr>
        <w:keepNext/>
        <w:spacing w:before="120" w:after="60"/>
      </w:pPr>
      <w:r>
        <w:rPr>
          <w:rFonts w:ascii="Aptos Display" w:hAnsi="Aptos Display" w:eastAsia="Aptos Display"/>
          <w:b/>
          <w:color w:val="0E2F66"/>
          <w:sz w:val="22"/>
        </w:rPr>
        <w:t>Ampliación de cobertura</w:t>
      </w:r>
    </w:p>
    <w:tbl>
      <w:tblPr>
        <w:tblW w:type="dxa" w:w="9412"/>
        <w:jc w:val="center"/>
        <w:tblLayout w:type="fixed"/>
        <w:tblLook w:firstColumn="1" w:firstRow="1" w:lastColumn="0" w:lastRow="0" w:noHBand="0" w:noVBand="1" w:val="04A0"/>
      </w:tblPr>
      <w:tblGrid>
        <w:gridCol w:w="2381"/>
        <w:gridCol w:w="3402"/>
        <w:gridCol w:w="3629"/>
      </w:tblGrid>
      <w:tr>
        <w:trPr>
          <w:cantSplit/>
          <w:tblHeader w:val="true"/>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Movimiento</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Regla de cobro</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Resultado</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Quincena → Mes</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Se acredita lo pagado y se cobra la diferencia</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Se habilitan las quincenas y archivos restantes</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Mes → Trimestre</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Se acreditan los mensuales del mismo grado, periodo y ruta</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Se cobra únicamente la diferencia trimestral</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Trimestre → Ciclo</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Se acredita el trimestre adquirido</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Se habilita el resto del ciclo del mismo grado</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Dos quincenas ya compradas</w:t>
            </w:r>
          </w:p>
        </w:tc>
        <w:tc>
          <w:tcPr>
            <w:tcW w:type="dxa" w:w="3402"/>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El mensual se considera cubierto</w:t>
            </w:r>
          </w:p>
        </w:tc>
        <w:tc>
          <w:tcPr>
            <w:tcW w:type="dxa" w:w="3629"/>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El tramo corto incluido se habilita sin pago adicional</w:t>
            </w:r>
          </w:p>
        </w:tc>
      </w:tr>
    </w:tbl>
    <w:p>
      <w:pPr>
        <w:keepNext/>
        <w:spacing w:before="120" w:after="60"/>
      </w:pPr>
      <w:r>
        <w:rPr>
          <w:rFonts w:ascii="Aptos Display" w:hAnsi="Aptos Display" w:eastAsia="Aptos Display"/>
          <w:b/>
          <w:color w:val="0E2F66"/>
          <w:sz w:val="22"/>
        </w:rPr>
        <w:t>Ampliación de ruta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Ruta Base a Ruta Visual: se paga la diferencia de la misma cobertura.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Ruta Base a Ruta Seguimiento: se paga la diferencia de la misma cobertura.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Ruta Base, Visual o Seguimiento a Ruta Integral: se paga la diferencia aplicable.</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Los créditos no se transfieren entre grados.</w:t>
      </w:r>
    </w:p>
    <w:p>
      <w:pPr>
        <w:keepNext/>
        <w:spacing w:before="120" w:after="60"/>
      </w:pPr>
      <w:r>
        <w:rPr>
          <w:rFonts w:ascii="Aptos Display" w:hAnsi="Aptos Display" w:eastAsia="Aptos Display"/>
          <w:b/>
          <w:color w:val="0E2F66"/>
          <w:sz w:val="22"/>
        </w:rPr>
        <w:t>Promociones</w:t>
      </w:r>
    </w:p>
    <w:tbl>
      <w:tblPr>
        <w:tblW w:type="dxa" w:w="9412"/>
        <w:jc w:val="center"/>
        <w:tblLayout w:type="fixed"/>
        <w:tblLook w:firstColumn="1" w:firstRow="1" w:lastColumn="0" w:lastRow="0" w:noHBand="0" w:noVBand="1" w:val="04A0"/>
      </w:tblPr>
      <w:tblGrid>
        <w:gridCol w:w="142"/>
        <w:gridCol w:w="9270"/>
      </w:tblGrid>
      <w:tr>
        <w:tc>
          <w:tcPr>
            <w:tcW w:type="dxa" w:w="142"/>
            <w:shd w:fill="6F3CCB"/>
            <w:tcBorders>
              <w:top w:val="nil"/>
              <w:left w:val="nil"/>
              <w:bottom w:val="nil"/>
              <w:right w:val="nil"/>
            </w:tcBorders>
            <w:tcMar>
              <w:top w:w="0" w:type="dxa"/>
              <w:start w:w="0" w:type="dxa"/>
              <w:bottom w:w="0" w:type="dxa"/>
              <w:end w:w="0" w:type="dxa"/>
            </w:tcMar>
          </w:tcPr>
          <w:p/>
        </w:tc>
        <w:tc>
          <w:tcPr>
            <w:tcW w:type="dxa" w:w="9270"/>
            <w:shd w:fill="F4EFFC"/>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Un beneficio por nivel de compra</w:t>
            </w:r>
          </w:p>
          <w:p>
            <w:pPr>
              <w:spacing w:after="0" w:line="252" w:lineRule="auto"/>
            </w:pPr>
            <w:r>
              <w:rPr>
                <w:rFonts w:ascii="Aptos" w:hAnsi="Aptos" w:eastAsia="Aptos"/>
                <w:color w:val="24344B"/>
                <w:sz w:val="19"/>
              </w:rPr>
              <w:t>La quincena ofrece entrada accesible; el mes ofrece ahorro y, cuando corresponde, un tramo corto incluido; el trimestre añade un descuento moderado; el ciclo completo ofrece el mayor valor. Estos beneficios no se apilan automáticamente.</w:t>
            </w:r>
          </w:p>
        </w:tc>
      </w:tr>
    </w:tbl>
    <w:p>
      <w:pPr>
        <w:spacing w:after="0"/>
      </w:pP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Los cupones generales solo aplican cuando la campaña lo indique expresamente.</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No se realizan devoluciones retroactivas por compras separadas; se habilita el acceso correspondiente.</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El precio tachado debe representar la suma real de los productos separados.</w:t>
      </w:r>
    </w:p>
    <w:p>
      <w:r>
        <w:br w:type="page"/>
      </w:r>
    </w:p>
    <w:p>
      <w:pPr>
        <w:keepNext/>
        <w:spacing w:before="40" w:after="80"/>
        <w:pBdr>
          <w:bottom w:val="single" w:sz="10" w:space="4" w:color="5DB3F0"/>
        </w:pBdr>
      </w:pPr>
      <w:r>
        <w:rPr>
          <w:rFonts w:ascii="Aptos Display" w:hAnsi="Aptos Display" w:eastAsia="Aptos Display"/>
          <w:b/>
          <w:color w:val="00B7C3"/>
          <w:sz w:val="30"/>
        </w:rPr>
        <w:t xml:space="preserve">9  </w:t>
      </w:r>
      <w:r>
        <w:rPr>
          <w:rFonts w:ascii="Aptos Display" w:hAnsi="Aptos Display" w:eastAsia="Aptos Display"/>
          <w:b/>
          <w:color w:val="0E2F66"/>
          <w:sz w:val="32"/>
        </w:rPr>
        <w:t>Experiencia de compra y biblioteca</w:t>
      </w:r>
    </w:p>
    <w:p>
      <w:pPr>
        <w:spacing w:after="140"/>
      </w:pPr>
      <w:r>
        <w:rPr>
          <w:rFonts w:ascii="Aptos" w:hAnsi="Aptos" w:eastAsia="Aptos"/>
          <w:i/>
          <w:color w:val="687386"/>
          <w:sz w:val="18"/>
        </w:rPr>
        <w:t>La selección se presenta de forma progresiva para evitar una matriz saturada de opciones.</w:t>
      </w:r>
    </w:p>
    <w:tbl>
      <w:tblPr>
        <w:tblW w:type="dxa" w:w="9412"/>
        <w:jc w:val="center"/>
        <w:tblLayout w:type="fixed"/>
        <w:tblLook w:firstColumn="1" w:firstRow="1" w:lastColumn="0" w:lastRow="0" w:noHBand="0" w:noVBand="1" w:val="04A0"/>
      </w:tblPr>
      <w:tblGrid>
        <w:gridCol w:w="709"/>
        <w:gridCol w:w="2637"/>
        <w:gridCol w:w="6067"/>
      </w:tblGrid>
      <w:tr>
        <w:tc>
          <w:tcPr>
            <w:tcW w:type="dxa" w:w="709"/>
            <w:tcBorders>
              <w:top w:val="nil"/>
              <w:left w:val="nil"/>
              <w:bottom w:val="nil"/>
              <w:right w:val="nil"/>
            </w:tcBorders>
            <w:tcMar>
              <w:top w:w="75" w:type="dxa"/>
              <w:start w:w="75" w:type="dxa"/>
              <w:bottom w:w="75" w:type="dxa"/>
              <w:end w:w="75" w:type="dxa"/>
            </w:tcMar>
            <w:shd w:fill="00B7C3"/>
          </w:tcPr>
          <w:p>
            <w:pPr>
              <w:jc w:val="center"/>
            </w:pPr>
            <w:r>
              <w:rPr>
                <w:rFonts w:ascii="Aptos Display" w:hAnsi="Aptos Display" w:eastAsia="Aptos Display"/>
                <w:b/>
                <w:color w:val="FFFFFF"/>
                <w:sz w:val="23"/>
              </w:rPr>
              <w:t>1</w:t>
            </w:r>
          </w:p>
        </w:tc>
        <w:tc>
          <w:tcPr>
            <w:tcW w:type="dxa" w:w="2637"/>
            <w:tcBorders>
              <w:top w:val="nil"/>
              <w:left w:val="nil"/>
              <w:bottom w:val="single" w:sz="5" w:space="0" w:color="D8E3EE"/>
              <w:right w:val="nil"/>
            </w:tcBorders>
            <w:tcMar>
              <w:top w:w="75" w:type="dxa"/>
              <w:start w:w="75" w:type="dxa"/>
              <w:bottom w:w="75" w:type="dxa"/>
              <w:end w:w="75" w:type="dxa"/>
            </w:tcMar>
          </w:tcPr>
          <w:p>
            <w:r>
              <w:rPr>
                <w:rFonts w:ascii="Aptos" w:hAnsi="Aptos" w:eastAsia="Aptos"/>
                <w:b/>
                <w:color w:val="0E2F66"/>
                <w:sz w:val="18"/>
              </w:rPr>
              <w:t>Seleccionar grado</w:t>
            </w:r>
          </w:p>
        </w:tc>
        <w:tc>
          <w:tcPr>
            <w:tcW w:type="dxa" w:w="6067"/>
            <w:tcBorders>
              <w:top w:val="nil"/>
              <w:left w:val="nil"/>
              <w:bottom w:val="single" w:sz="5" w:space="0" w:color="D8E3EE"/>
              <w:right w:val="nil"/>
            </w:tcBorders>
            <w:tcMar>
              <w:top w:w="75" w:type="dxa"/>
              <w:start w:w="75" w:type="dxa"/>
              <w:bottom w:w="75" w:type="dxa"/>
              <w:end w:w="75" w:type="dxa"/>
            </w:tcMar>
          </w:tcPr>
          <w:p>
            <w:r>
              <w:rPr>
                <w:rFonts w:ascii="Aptos" w:hAnsi="Aptos" w:eastAsia="Aptos"/>
                <w:color w:val="24344B"/>
                <w:sz w:val="17"/>
              </w:rPr>
              <w:t>Primero a sexto de primaria.</w:t>
            </w:r>
          </w:p>
        </w:tc>
      </w:tr>
      <w:tr>
        <w:tc>
          <w:tcPr>
            <w:tcW w:type="dxa" w:w="709"/>
            <w:tcBorders>
              <w:top w:val="nil"/>
              <w:left w:val="nil"/>
              <w:bottom w:val="nil"/>
              <w:right w:val="nil"/>
            </w:tcBorders>
            <w:tcMar>
              <w:top w:w="75" w:type="dxa"/>
              <w:start w:w="75" w:type="dxa"/>
              <w:bottom w:w="75" w:type="dxa"/>
              <w:end w:w="75" w:type="dxa"/>
            </w:tcMar>
            <w:shd w:fill="5DB3F0"/>
          </w:tcPr>
          <w:p>
            <w:pPr>
              <w:jc w:val="center"/>
            </w:pPr>
            <w:r>
              <w:rPr>
                <w:rFonts w:ascii="Aptos Display" w:hAnsi="Aptos Display" w:eastAsia="Aptos Display"/>
                <w:b/>
                <w:color w:val="FFFFFF"/>
                <w:sz w:val="23"/>
              </w:rPr>
              <w:t>2</w:t>
            </w:r>
          </w:p>
        </w:tc>
        <w:tc>
          <w:tcPr>
            <w:tcW w:type="dxa" w:w="2637"/>
            <w:tcBorders>
              <w:top w:val="nil"/>
              <w:left w:val="nil"/>
              <w:bottom w:val="single" w:sz="5" w:space="0" w:color="D8E3EE"/>
              <w:right w:val="nil"/>
            </w:tcBorders>
            <w:tcMar>
              <w:top w:w="75" w:type="dxa"/>
              <w:start w:w="75" w:type="dxa"/>
              <w:bottom w:w="75" w:type="dxa"/>
              <w:end w:w="75" w:type="dxa"/>
            </w:tcMar>
          </w:tcPr>
          <w:p>
            <w:r>
              <w:rPr>
                <w:rFonts w:ascii="Aptos" w:hAnsi="Aptos" w:eastAsia="Aptos"/>
                <w:b/>
                <w:color w:val="0E2F66"/>
                <w:sz w:val="18"/>
              </w:rPr>
              <w:t>Seleccionar cobertura</w:t>
            </w:r>
          </w:p>
        </w:tc>
        <w:tc>
          <w:tcPr>
            <w:tcW w:type="dxa" w:w="6067"/>
            <w:tcBorders>
              <w:top w:val="nil"/>
              <w:left w:val="nil"/>
              <w:bottom w:val="single" w:sz="5" w:space="0" w:color="D8E3EE"/>
              <w:right w:val="nil"/>
            </w:tcBorders>
            <w:tcMar>
              <w:top w:w="75" w:type="dxa"/>
              <w:start w:w="75" w:type="dxa"/>
              <w:bottom w:w="75" w:type="dxa"/>
              <w:end w:w="75" w:type="dxa"/>
            </w:tcMar>
          </w:tcPr>
          <w:p>
            <w:r>
              <w:rPr>
                <w:rFonts w:ascii="Aptos" w:hAnsi="Aptos" w:eastAsia="Aptos"/>
                <w:color w:val="24344B"/>
                <w:sz w:val="17"/>
              </w:rPr>
              <w:t>Quincena, mes, trimestre, cierre anual o ciclo completo.</w:t>
            </w:r>
          </w:p>
        </w:tc>
      </w:tr>
      <w:tr>
        <w:tc>
          <w:tcPr>
            <w:tcW w:type="dxa" w:w="709"/>
            <w:tcBorders>
              <w:top w:val="nil"/>
              <w:left w:val="nil"/>
              <w:bottom w:val="nil"/>
              <w:right w:val="nil"/>
            </w:tcBorders>
            <w:tcMar>
              <w:top w:w="75" w:type="dxa"/>
              <w:start w:w="75" w:type="dxa"/>
              <w:bottom w:w="75" w:type="dxa"/>
              <w:end w:w="75" w:type="dxa"/>
            </w:tcMar>
            <w:shd w:fill="6F3CCB"/>
          </w:tcPr>
          <w:p>
            <w:pPr>
              <w:jc w:val="center"/>
            </w:pPr>
            <w:r>
              <w:rPr>
                <w:rFonts w:ascii="Aptos Display" w:hAnsi="Aptos Display" w:eastAsia="Aptos Display"/>
                <w:b/>
                <w:color w:val="FFFFFF"/>
                <w:sz w:val="23"/>
              </w:rPr>
              <w:t>3</w:t>
            </w:r>
          </w:p>
        </w:tc>
        <w:tc>
          <w:tcPr>
            <w:tcW w:type="dxa" w:w="2637"/>
            <w:tcBorders>
              <w:top w:val="nil"/>
              <w:left w:val="nil"/>
              <w:bottom w:val="single" w:sz="5" w:space="0" w:color="D8E3EE"/>
              <w:right w:val="nil"/>
            </w:tcBorders>
            <w:tcMar>
              <w:top w:w="75" w:type="dxa"/>
              <w:start w:w="75" w:type="dxa"/>
              <w:bottom w:w="75" w:type="dxa"/>
              <w:end w:w="75" w:type="dxa"/>
            </w:tcMar>
          </w:tcPr>
          <w:p>
            <w:r>
              <w:rPr>
                <w:rFonts w:ascii="Aptos" w:hAnsi="Aptos" w:eastAsia="Aptos"/>
                <w:b/>
                <w:color w:val="0E2F66"/>
                <w:sz w:val="18"/>
              </w:rPr>
              <w:t>Seleccionar periodo</w:t>
            </w:r>
          </w:p>
        </w:tc>
        <w:tc>
          <w:tcPr>
            <w:tcW w:type="dxa" w:w="6067"/>
            <w:tcBorders>
              <w:top w:val="nil"/>
              <w:left w:val="nil"/>
              <w:bottom w:val="single" w:sz="5" w:space="0" w:color="D8E3EE"/>
              <w:right w:val="nil"/>
            </w:tcBorders>
            <w:tcMar>
              <w:top w:w="75" w:type="dxa"/>
              <w:start w:w="75" w:type="dxa"/>
              <w:bottom w:w="75" w:type="dxa"/>
              <w:end w:w="75" w:type="dxa"/>
            </w:tcMar>
          </w:tcPr>
          <w:p>
            <w:r>
              <w:rPr>
                <w:rFonts w:ascii="Aptos" w:hAnsi="Aptos" w:eastAsia="Aptos"/>
                <w:color w:val="24344B"/>
                <w:sz w:val="17"/>
              </w:rPr>
              <w:t>Elegir el bloque concreto dentro de la cobertura.</w:t>
            </w:r>
          </w:p>
        </w:tc>
      </w:tr>
      <w:tr>
        <w:tc>
          <w:tcPr>
            <w:tcW w:type="dxa" w:w="709"/>
            <w:tcBorders>
              <w:top w:val="nil"/>
              <w:left w:val="nil"/>
              <w:bottom w:val="nil"/>
              <w:right w:val="nil"/>
            </w:tcBorders>
            <w:tcMar>
              <w:top w:w="75" w:type="dxa"/>
              <w:start w:w="75" w:type="dxa"/>
              <w:bottom w:w="75" w:type="dxa"/>
              <w:end w:w="75" w:type="dxa"/>
            </w:tcMar>
            <w:shd w:fill="E97867"/>
          </w:tcPr>
          <w:p>
            <w:pPr>
              <w:jc w:val="center"/>
            </w:pPr>
            <w:r>
              <w:rPr>
                <w:rFonts w:ascii="Aptos Display" w:hAnsi="Aptos Display" w:eastAsia="Aptos Display"/>
                <w:b/>
                <w:color w:val="FFFFFF"/>
                <w:sz w:val="23"/>
              </w:rPr>
              <w:t>4</w:t>
            </w:r>
          </w:p>
        </w:tc>
        <w:tc>
          <w:tcPr>
            <w:tcW w:type="dxa" w:w="2637"/>
            <w:tcBorders>
              <w:top w:val="nil"/>
              <w:left w:val="nil"/>
              <w:bottom w:val="single" w:sz="5" w:space="0" w:color="D8E3EE"/>
              <w:right w:val="nil"/>
            </w:tcBorders>
            <w:tcMar>
              <w:top w:w="75" w:type="dxa"/>
              <w:start w:w="75" w:type="dxa"/>
              <w:bottom w:w="75" w:type="dxa"/>
              <w:end w:w="75" w:type="dxa"/>
            </w:tcMar>
          </w:tcPr>
          <w:p>
            <w:r>
              <w:rPr>
                <w:rFonts w:ascii="Aptos" w:hAnsi="Aptos" w:eastAsia="Aptos"/>
                <w:b/>
                <w:color w:val="0E2F66"/>
                <w:sz w:val="18"/>
              </w:rPr>
              <w:t>Seleccionar ruta</w:t>
            </w:r>
          </w:p>
        </w:tc>
        <w:tc>
          <w:tcPr>
            <w:tcW w:type="dxa" w:w="6067"/>
            <w:tcBorders>
              <w:top w:val="nil"/>
              <w:left w:val="nil"/>
              <w:bottom w:val="single" w:sz="5" w:space="0" w:color="D8E3EE"/>
              <w:right w:val="nil"/>
            </w:tcBorders>
            <w:tcMar>
              <w:top w:w="75" w:type="dxa"/>
              <w:start w:w="75" w:type="dxa"/>
              <w:bottom w:w="75" w:type="dxa"/>
              <w:end w:w="75" w:type="dxa"/>
            </w:tcMar>
          </w:tcPr>
          <w:p>
            <w:r>
              <w:rPr>
                <w:rFonts w:ascii="Aptos" w:hAnsi="Aptos" w:eastAsia="Aptos"/>
                <w:color w:val="24344B"/>
                <w:sz w:val="17"/>
              </w:rPr>
              <w:t>Ruta Base, Visual, Seguimiento o Integral.</w:t>
            </w:r>
          </w:p>
        </w:tc>
      </w:tr>
      <w:tr>
        <w:tc>
          <w:tcPr>
            <w:tcW w:type="dxa" w:w="709"/>
            <w:tcBorders>
              <w:top w:val="nil"/>
              <w:left w:val="nil"/>
              <w:bottom w:val="nil"/>
              <w:right w:val="nil"/>
            </w:tcBorders>
            <w:tcMar>
              <w:top w:w="75" w:type="dxa"/>
              <w:start w:w="75" w:type="dxa"/>
              <w:bottom w:w="75" w:type="dxa"/>
              <w:end w:w="75" w:type="dxa"/>
            </w:tcMar>
            <w:shd w:fill="00B7C3"/>
          </w:tcPr>
          <w:p>
            <w:pPr>
              <w:jc w:val="center"/>
            </w:pPr>
            <w:r>
              <w:rPr>
                <w:rFonts w:ascii="Aptos Display" w:hAnsi="Aptos Display" w:eastAsia="Aptos Display"/>
                <w:b/>
                <w:color w:val="FFFFFF"/>
                <w:sz w:val="23"/>
              </w:rPr>
              <w:t>5</w:t>
            </w:r>
          </w:p>
        </w:tc>
        <w:tc>
          <w:tcPr>
            <w:tcW w:type="dxa" w:w="2637"/>
            <w:tcBorders>
              <w:top w:val="nil"/>
              <w:left w:val="nil"/>
              <w:bottom w:val="single" w:sz="5" w:space="0" w:color="D8E3EE"/>
              <w:right w:val="nil"/>
            </w:tcBorders>
            <w:tcMar>
              <w:top w:w="75" w:type="dxa"/>
              <w:start w:w="75" w:type="dxa"/>
              <w:bottom w:w="75" w:type="dxa"/>
              <w:end w:w="75" w:type="dxa"/>
            </w:tcMar>
          </w:tcPr>
          <w:p>
            <w:r>
              <w:rPr>
                <w:rFonts w:ascii="Aptos" w:hAnsi="Aptos" w:eastAsia="Aptos"/>
                <w:b/>
                <w:color w:val="0E2F66"/>
                <w:sz w:val="18"/>
              </w:rPr>
              <w:t>Revisar la compra</w:t>
            </w:r>
          </w:p>
        </w:tc>
        <w:tc>
          <w:tcPr>
            <w:tcW w:type="dxa" w:w="6067"/>
            <w:tcBorders>
              <w:top w:val="nil"/>
              <w:left w:val="nil"/>
              <w:bottom w:val="single" w:sz="5" w:space="0" w:color="D8E3EE"/>
              <w:right w:val="nil"/>
            </w:tcBorders>
            <w:tcMar>
              <w:top w:w="75" w:type="dxa"/>
              <w:start w:w="75" w:type="dxa"/>
              <w:bottom w:w="75" w:type="dxa"/>
              <w:end w:w="75" w:type="dxa"/>
            </w:tcMar>
          </w:tcPr>
          <w:p>
            <w:r>
              <w:rPr>
                <w:rFonts w:ascii="Aptos" w:hAnsi="Aptos" w:eastAsia="Aptos"/>
                <w:color w:val="24344B"/>
                <w:sz w:val="17"/>
              </w:rPr>
              <w:t>Mostrar fechas, jornadas, archivos, licencia, precio y ahorro.</w:t>
            </w:r>
          </w:p>
        </w:tc>
      </w:tr>
      <w:tr>
        <w:tc>
          <w:tcPr>
            <w:tcW w:type="dxa" w:w="709"/>
            <w:tcBorders>
              <w:top w:val="nil"/>
              <w:left w:val="nil"/>
              <w:bottom w:val="nil"/>
              <w:right w:val="nil"/>
            </w:tcBorders>
            <w:tcMar>
              <w:top w:w="75" w:type="dxa"/>
              <w:start w:w="75" w:type="dxa"/>
              <w:bottom w:w="75" w:type="dxa"/>
              <w:end w:w="75" w:type="dxa"/>
            </w:tcMar>
            <w:shd w:fill="0E2F66"/>
          </w:tcPr>
          <w:p>
            <w:pPr>
              <w:jc w:val="center"/>
            </w:pPr>
            <w:r>
              <w:rPr>
                <w:rFonts w:ascii="Aptos Display" w:hAnsi="Aptos Display" w:eastAsia="Aptos Display"/>
                <w:b/>
                <w:color w:val="FFFFFF"/>
                <w:sz w:val="23"/>
              </w:rPr>
              <w:t>6</w:t>
            </w:r>
          </w:p>
        </w:tc>
        <w:tc>
          <w:tcPr>
            <w:tcW w:type="dxa" w:w="2637"/>
            <w:tcBorders>
              <w:top w:val="nil"/>
              <w:left w:val="nil"/>
              <w:bottom w:val="nil"/>
              <w:right w:val="nil"/>
            </w:tcBorders>
            <w:tcMar>
              <w:top w:w="75" w:type="dxa"/>
              <w:start w:w="75" w:type="dxa"/>
              <w:bottom w:w="75" w:type="dxa"/>
              <w:end w:w="75" w:type="dxa"/>
            </w:tcMar>
          </w:tcPr>
          <w:p>
            <w:r>
              <w:rPr>
                <w:rFonts w:ascii="Aptos" w:hAnsi="Aptos" w:eastAsia="Aptos"/>
                <w:b/>
                <w:color w:val="0E2F66"/>
                <w:sz w:val="18"/>
              </w:rPr>
              <w:t>Comprar y acceder</w:t>
            </w:r>
          </w:p>
        </w:tc>
        <w:tc>
          <w:tcPr>
            <w:tcW w:type="dxa" w:w="6067"/>
            <w:tcBorders>
              <w:top w:val="nil"/>
              <w:left w:val="nil"/>
              <w:bottom w:val="nil"/>
              <w:right w:val="nil"/>
            </w:tcBorders>
            <w:tcMar>
              <w:top w:w="75" w:type="dxa"/>
              <w:start w:w="75" w:type="dxa"/>
              <w:bottom w:w="75" w:type="dxa"/>
              <w:end w:w="75" w:type="dxa"/>
            </w:tcMar>
          </w:tcPr>
          <w:p>
            <w:r>
              <w:rPr>
                <w:rFonts w:ascii="Aptos" w:hAnsi="Aptos" w:eastAsia="Aptos"/>
                <w:color w:val="24344B"/>
                <w:sz w:val="17"/>
              </w:rPr>
              <w:t>Habilitar los archivos en la biblioteca de la cuenta.</w:t>
            </w:r>
          </w:p>
        </w:tc>
      </w:tr>
    </w:tbl>
    <w:p>
      <w:pPr>
        <w:keepNext/>
        <w:spacing w:before="120" w:after="60"/>
      </w:pPr>
      <w:r>
        <w:rPr>
          <w:rFonts w:ascii="Aptos Display" w:hAnsi="Aptos Display" w:eastAsia="Aptos Display"/>
          <w:b/>
          <w:color w:val="0E2F66"/>
          <w:sz w:val="22"/>
        </w:rPr>
        <w:t>Información de cada producto</w:t>
      </w:r>
    </w:p>
    <w:tbl>
      <w:tblPr>
        <w:tblW w:type="dxa" w:w="9412"/>
        <w:jc w:val="center"/>
        <w:tblLayout w:type="fixed"/>
        <w:tblLook w:firstColumn="1" w:firstRow="1" w:lastColumn="0" w:lastRow="0" w:noHBand="0" w:noVBand="1" w:val="04A0"/>
      </w:tblPr>
      <w:tblGrid>
        <w:gridCol w:w="2835"/>
        <w:gridCol w:w="6577"/>
      </w:tblGrid>
      <w:tr>
        <w:trPr>
          <w:cantSplit/>
          <w:tblHeader w:val="true"/>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Dato</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Ejemplo</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Grado y periodo</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Quinto grado · Trimestre 1 · M02</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Fechas y jornadas</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28 de septiembre a 6 de noviembre · 28 jornadas</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Quincenas incluidas</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T1_Q03 + T1_Q04 + T1_Q05</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Ruta seleccionada</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Ruta Visual</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Archivos habilitados</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M02 + M03 incluido</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Precio y beneficio</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$249 · incluye el tramo corto</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Acción principal</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Elegir M02</w:t>
            </w:r>
          </w:p>
        </w:tc>
      </w:tr>
    </w:tbl>
    <w:p>
      <w:pPr>
        <w:keepNext/>
        <w:spacing w:before="120" w:after="60"/>
      </w:pPr>
      <w:r>
        <w:rPr>
          <w:rFonts w:ascii="Aptos Display" w:hAnsi="Aptos Display" w:eastAsia="Aptos Display"/>
          <w:b/>
          <w:color w:val="0E2F66"/>
          <w:sz w:val="22"/>
        </w:rPr>
        <w:t>Estados visibles</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Disponible: puede comprarse en ese momento.</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Incluido: se habilita como parte de otro paquete.</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Adquirido: ya forma parte de la biblioteca.</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Ampliable: permite pagar la diferencia hacia una cobertura o ruta mayor.</w:t>
      </w:r>
    </w:p>
    <w:p>
      <w:pPr>
        <w:spacing w:after="40" w:line="247" w:lineRule="auto"/>
        <w:ind w:left="312" w:hanging="147"/>
      </w:pPr>
      <w:r>
        <w:rPr>
          <w:rFonts w:ascii="Aptos" w:hAnsi="Aptos" w:eastAsia="Aptos"/>
          <w:b/>
          <w:color w:val="00B7C3"/>
          <w:sz w:val="19"/>
        </w:rPr>
        <w:t xml:space="preserve">• </w:t>
      </w:r>
      <w:r>
        <w:rPr>
          <w:rFonts w:ascii="Aptos" w:hAnsi="Aptos" w:eastAsia="Aptos"/>
          <w:color w:val="24344B"/>
          <w:sz w:val="19"/>
        </w:rPr>
        <w:t>Próximamente: visible sin botón de compra mientras el producto no esté listo.</w:t>
      </w:r>
    </w:p>
    <w:p>
      <w:r>
        <w:br w:type="page"/>
      </w:r>
    </w:p>
    <w:p>
      <w:pPr>
        <w:keepNext/>
        <w:spacing w:before="40" w:after="80"/>
        <w:pBdr>
          <w:bottom w:val="single" w:sz="10" w:space="4" w:color="5DB3F0"/>
        </w:pBdr>
      </w:pPr>
      <w:r>
        <w:rPr>
          <w:rFonts w:ascii="Aptos Display" w:hAnsi="Aptos Display" w:eastAsia="Aptos Display"/>
          <w:b/>
          <w:color w:val="00B7C3"/>
          <w:sz w:val="30"/>
        </w:rPr>
        <w:t xml:space="preserve">10  </w:t>
      </w:r>
      <w:r>
        <w:rPr>
          <w:rFonts w:ascii="Aptos Display" w:hAnsi="Aptos Display" w:eastAsia="Aptos Display"/>
          <w:b/>
          <w:color w:val="0E2F66"/>
          <w:sz w:val="32"/>
        </w:rPr>
        <w:t>Mensajes y requisitos funcionales</w:t>
      </w:r>
    </w:p>
    <w:p>
      <w:pPr>
        <w:spacing w:after="140"/>
      </w:pPr>
      <w:r>
        <w:rPr>
          <w:rFonts w:ascii="Aptos" w:hAnsi="Aptos" w:eastAsia="Aptos"/>
          <w:i/>
          <w:color w:val="687386"/>
          <w:sz w:val="18"/>
        </w:rPr>
        <w:t>Textos públicos y reglas mínimas para que la oferta se comunique con claridad.</w:t>
      </w:r>
    </w:p>
    <w:p>
      <w:pPr>
        <w:keepNext/>
        <w:spacing w:before="120" w:after="60"/>
      </w:pPr>
      <w:r>
        <w:rPr>
          <w:rFonts w:ascii="Aptos Display" w:hAnsi="Aptos Display" w:eastAsia="Aptos Display"/>
          <w:b/>
          <w:color w:val="0E2F66"/>
          <w:sz w:val="22"/>
        </w:rPr>
        <w:t>Mensajes principales</w:t>
      </w:r>
    </w:p>
    <w:tbl>
      <w:tblPr>
        <w:tblW w:type="dxa" w:w="9412"/>
        <w:jc w:val="center"/>
        <w:tblLayout w:type="fixed"/>
        <w:tblLook w:firstColumn="1" w:firstRow="1" w:lastColumn="0" w:lastRow="0" w:noHBand="0" w:noVBand="1" w:val="04A0"/>
      </w:tblPr>
      <w:tblGrid>
        <w:gridCol w:w="2835"/>
        <w:gridCol w:w="6577"/>
      </w:tblGrid>
      <w:tr>
        <w:trPr>
          <w:cantSplit/>
          <w:tblHeader w:val="true"/>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Uso</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6"/>
              </w:rPr>
              <w:t>Texto</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Mensaje central</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Planea, acompaña y da seguimiento desde una misma ruta.</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Entrada accesible</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Comienza con una quincena desde $99.</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Mensual con bloque incluido</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Este mensual incluye el cierre del trimestre sin costo adicional.</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Trimestre 1</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Trimestre 1 completo, con precio ajustado a sus 46 jornadas.</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6"/>
              </w:rPr>
              <w:t>Ciclo completo</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6"/>
              </w:rPr>
              <w:t>Todo el ciclo escolar, incluidos los tres trimestres y el cierre anual.</w:t>
            </w:r>
          </w:p>
        </w:tc>
      </w:tr>
      <w:tr>
        <w:trPr>
          <w:cantSplit/>
        </w:trPr>
        <w:tc>
          <w:tcPr>
            <w:tcW w:type="dxa" w:w="2835"/>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6"/>
              </w:rPr>
              <w:t>Cobertura</w:t>
            </w:r>
          </w:p>
        </w:tc>
        <w:tc>
          <w:tcPr>
            <w:tcW w:type="dxa" w:w="6577"/>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6"/>
              </w:rPr>
              <w:t>Cada producto cubre el bloque completo establecido para el periodo seleccionado.</w:t>
            </w:r>
          </w:p>
        </w:tc>
      </w:tr>
    </w:tbl>
    <w:p>
      <w:pPr>
        <w:keepNext/>
        <w:spacing w:before="120" w:after="60"/>
      </w:pPr>
      <w:r>
        <w:rPr>
          <w:rFonts w:ascii="Aptos Display" w:hAnsi="Aptos Display" w:eastAsia="Aptos Display"/>
          <w:b/>
          <w:color w:val="0E2F66"/>
          <w:sz w:val="22"/>
        </w:rPr>
        <w:t>Distintivos</w:t>
      </w:r>
    </w:p>
    <w:tbl>
      <w:tblPr>
        <w:tblW w:type="dxa" w:w="9412"/>
        <w:jc w:val="center"/>
        <w:tblLayout w:type="fixed"/>
        <w:tblLook w:firstColumn="1" w:firstRow="1" w:lastColumn="0" w:lastRow="0" w:noHBand="0" w:noVBand="1" w:val="04A0"/>
      </w:tblPr>
      <w:tblGrid>
        <w:gridCol w:w="4536"/>
        <w:gridCol w:w="4876"/>
      </w:tblGrid>
      <w:tr>
        <w:trPr>
          <w:cantSplit/>
          <w:tblHeader w:val="true"/>
        </w:trPr>
        <w:tc>
          <w:tcPr>
            <w:tcW w:type="dxa" w:w="453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Producto</w:t>
            </w:r>
          </w:p>
        </w:tc>
        <w:tc>
          <w:tcPr>
            <w:tcW w:type="dxa" w:w="487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Distintivo</w:t>
            </w:r>
          </w:p>
        </w:tc>
      </w:tr>
      <w:tr>
        <w:trPr>
          <w:cantSplit/>
        </w:trPr>
        <w:tc>
          <w:tcPr>
            <w:tcW w:type="dxa" w:w="453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Ruta Visual</w:t>
            </w:r>
          </w:p>
        </w:tc>
        <w:tc>
          <w:tcPr>
            <w:tcW w:type="dxa" w:w="487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Recomendada</w:t>
            </w:r>
          </w:p>
        </w:tc>
      </w:tr>
      <w:tr>
        <w:trPr>
          <w:cantSplit/>
        </w:trPr>
        <w:tc>
          <w:tcPr>
            <w:tcW w:type="dxa" w:w="453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Ruta Integral</w:t>
            </w:r>
          </w:p>
        </w:tc>
        <w:tc>
          <w:tcPr>
            <w:tcW w:type="dxa" w:w="487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Mejor valor</w:t>
            </w:r>
          </w:p>
        </w:tc>
      </w:tr>
      <w:tr>
        <w:trPr>
          <w:cantSplit/>
        </w:trPr>
        <w:tc>
          <w:tcPr>
            <w:tcW w:type="dxa" w:w="453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Mensual con tramo corto</w:t>
            </w:r>
          </w:p>
        </w:tc>
        <w:tc>
          <w:tcPr>
            <w:tcW w:type="dxa" w:w="487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Incluye un bloque adicional</w:t>
            </w:r>
          </w:p>
        </w:tc>
      </w:tr>
      <w:tr>
        <w:trPr>
          <w:cantSplit/>
        </w:trPr>
        <w:tc>
          <w:tcPr>
            <w:tcW w:type="dxa" w:w="453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Trimestre 1</w:t>
            </w:r>
          </w:p>
        </w:tc>
        <w:tc>
          <w:tcPr>
            <w:tcW w:type="dxa" w:w="487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Precio ajustado</w:t>
            </w:r>
          </w:p>
        </w:tc>
      </w:tr>
      <w:tr>
        <w:trPr>
          <w:cantSplit/>
        </w:trPr>
        <w:tc>
          <w:tcPr>
            <w:tcW w:type="dxa" w:w="453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Ciclo completo</w:t>
            </w:r>
          </w:p>
        </w:tc>
        <w:tc>
          <w:tcPr>
            <w:tcW w:type="dxa" w:w="4876"/>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Mayor ahorro</w:t>
            </w:r>
          </w:p>
        </w:tc>
      </w:tr>
    </w:tbl>
    <w:p>
      <w:pPr>
        <w:keepNext/>
        <w:spacing w:before="120" w:after="60"/>
      </w:pPr>
      <w:r>
        <w:rPr>
          <w:rFonts w:ascii="Aptos Display" w:hAnsi="Aptos Display" w:eastAsia="Aptos Display"/>
          <w:b/>
          <w:color w:val="0E2F66"/>
          <w:sz w:val="22"/>
        </w:rPr>
        <w:t>Requisitos funcionales</w:t>
      </w:r>
    </w:p>
    <w:tbl>
      <w:tblPr>
        <w:tblW w:type="dxa" w:w="9412"/>
        <w:jc w:val="center"/>
        <w:tblLayout w:type="fixed"/>
        <w:tblLook w:firstColumn="1" w:firstRow="1" w:lastColumn="0" w:lastRow="0" w:noHBand="0" w:noVBand="1" w:val="04A0"/>
      </w:tblPr>
      <w:tblGrid>
        <w:gridCol w:w="4706"/>
        <w:gridCol w:w="4706"/>
      </w:tblGrid>
      <w:tr>
        <w:tc>
          <w:tcPr>
            <w:tcW w:type="dxa" w:w="4706"/>
            <w:shd w:fill="F5F7F9"/>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Mostrar las cuatro rutas y sus recursos.</w:t>
            </w:r>
          </w:p>
        </w:tc>
        <w:tc>
          <w:tcPr>
            <w:tcW w:type="dxa" w:w="4706"/>
            <w:shd w:fill="FFFFFF"/>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Mantener los códigos y nombres de archivo.</w:t>
            </w:r>
          </w:p>
        </w:tc>
      </w:tr>
      <w:tr>
        <w:tc>
          <w:tcPr>
            <w:tcW w:type="dxa" w:w="4706"/>
            <w:shd w:fill="FFFFFF"/>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Ocultar como mensual independiente un bloque formado por una sola quincena.</w:t>
            </w:r>
          </w:p>
        </w:tc>
        <w:tc>
          <w:tcPr>
            <w:tcW w:type="dxa" w:w="4706"/>
            <w:shd w:fill="F5F7F9"/>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Habilitar ese bloque con el mensual anterior y marcarlo como incluido.</w:t>
            </w:r>
          </w:p>
        </w:tc>
      </w:tr>
      <w:tr>
        <w:tc>
          <w:tcPr>
            <w:tcW w:type="dxa" w:w="4706"/>
            <w:shd w:fill="F5F7F9"/>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Mantener la venta quincenal individual del mismo periodo.</w:t>
            </w:r>
          </w:p>
        </w:tc>
        <w:tc>
          <w:tcPr>
            <w:tcW w:type="dxa" w:w="4706"/>
            <w:shd w:fill="FFFFFF"/>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Aplicar precios diferenciados a T1, T2/T3, cierre anual y ciclo completo.</w:t>
            </w:r>
          </w:p>
        </w:tc>
      </w:tr>
      <w:tr>
        <w:tc>
          <w:tcPr>
            <w:tcW w:type="dxa" w:w="4706"/>
            <w:shd w:fill="FFFFFF"/>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Permitir ampliaciones con acreditación del importe pagado.</w:t>
            </w:r>
          </w:p>
        </w:tc>
        <w:tc>
          <w:tcPr>
            <w:tcW w:type="dxa" w:w="4706"/>
            <w:shd w:fill="F5F7F9"/>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Mostrar fechas, jornadas, quincenas, archivos, licencia, precio y ahorro.</w:t>
            </w:r>
          </w:p>
        </w:tc>
      </w:tr>
      <w:tr>
        <w:tc>
          <w:tcPr>
            <w:tcW w:type="dxa" w:w="4706"/>
            <w:shd w:fill="F5F7F9"/>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Evitar descuentos automáticos acumulables sobre paquetes con un bloque incluido.</w:t>
            </w:r>
          </w:p>
        </w:tc>
        <w:tc>
          <w:tcPr>
            <w:tcW w:type="dxa" w:w="4706"/>
            <w:shd w:fill="FFFFFF"/>
            <w:tcBorders>
              <w:top w:val="single" w:sz="5" w:space="0" w:color="D8E3EE"/>
              <w:left w:val="single" w:sz="5" w:space="0" w:color="D8E3EE"/>
              <w:bottom w:val="single" w:sz="5" w:space="0" w:color="D8E3EE"/>
              <w:right w:val="single" w:sz="5" w:space="0" w:color="D8E3EE"/>
            </w:tcBorders>
            <w:tcMar>
              <w:top w:w="90" w:type="dxa"/>
              <w:start w:w="105" w:type="dxa"/>
              <w:bottom w:w="90" w:type="dxa"/>
              <w:end w:w="105" w:type="dxa"/>
            </w:tcMar>
          </w:tcPr>
          <w:p>
            <w:r>
              <w:rPr>
                <w:rFonts w:ascii="Aptos" w:hAnsi="Aptos" w:eastAsia="Aptos"/>
                <w:b/>
                <w:color w:val="00B7C3"/>
                <w:sz w:val="18"/>
              </w:rPr>
              <w:t xml:space="preserve">✓ </w:t>
            </w:r>
            <w:r>
              <w:rPr>
                <w:rFonts w:ascii="Aptos" w:hAnsi="Aptos" w:eastAsia="Aptos"/>
                <w:color w:val="24344B"/>
                <w:sz w:val="16"/>
              </w:rPr>
              <w:t>Incluir el cierre anual dentro del ciclo completo.</w:t>
            </w:r>
          </w:p>
        </w:tc>
      </w:tr>
    </w:tbl>
    <w:p>
      <w:r>
        <w:br w:type="page"/>
      </w:r>
    </w:p>
    <w:p>
      <w:pPr>
        <w:spacing w:before="320" w:after="240"/>
        <w:jc w:val="center"/>
      </w:pPr>
      <w:r>
        <w:drawing>
          <wp:inline xmlns:a="http://schemas.openxmlformats.org/drawingml/2006/main" xmlns:pic="http://schemas.openxmlformats.org/drawingml/2006/picture">
            <wp:extent cx="4434840" cy="947655"/>
            <wp:docPr id="2" name="Picture 2"/>
            <wp:cNvGraphicFramePr>
              <a:graphicFrameLocks noChangeAspect="1"/>
            </wp:cNvGraphicFramePr>
            <a:graphic>
              <a:graphicData uri="http://schemas.openxmlformats.org/drawingml/2006/picture">
                <pic:pic>
                  <pic:nvPicPr>
                    <pic:cNvPr id="0" name="Logo_Ruta_Didactica_recortado.png"/>
                    <pic:cNvPicPr/>
                  </pic:nvPicPr>
                  <pic:blipFill>
                    <a:blip r:embed="rId11"/>
                    <a:stretch>
                      <a:fillRect/>
                    </a:stretch>
                  </pic:blipFill>
                  <pic:spPr>
                    <a:xfrm>
                      <a:off x="0" y="0"/>
                      <a:ext cx="4434840" cy="947655"/>
                    </a:xfrm>
                    <a:prstGeom prst="rect"/>
                  </pic:spPr>
                </pic:pic>
              </a:graphicData>
            </a:graphic>
          </wp:inline>
        </w:drawing>
      </w:r>
    </w:p>
    <w:p>
      <w:pPr>
        <w:spacing w:after="80"/>
        <w:jc w:val="center"/>
      </w:pPr>
      <w:r>
        <w:rPr>
          <w:rFonts w:ascii="Aptos Display" w:hAnsi="Aptos Display" w:eastAsia="Aptos Display"/>
          <w:b/>
          <w:color w:val="0E2F66"/>
          <w:sz w:val="37"/>
        </w:rPr>
        <w:t>RESUMEN COMERCIAL</w:t>
      </w:r>
    </w:p>
    <w:p>
      <w:pPr>
        <w:spacing w:after="260"/>
        <w:jc w:val="center"/>
      </w:pPr>
      <w:r>
        <w:rPr>
          <w:rFonts w:ascii="Aptos" w:hAnsi="Aptos" w:eastAsia="Aptos"/>
          <w:b/>
          <w:color w:val="00B7C3"/>
          <w:sz w:val="21"/>
        </w:rPr>
        <w:t>Reglas esenciales de la oferta 2026-2027</w:t>
      </w:r>
    </w:p>
    <w:tbl>
      <w:tblPr>
        <w:tblW w:type="dxa" w:w="9412"/>
        <w:jc w:val="center"/>
        <w:tblLayout w:type="fixed"/>
        <w:tblLook w:firstColumn="1" w:firstRow="1" w:lastColumn="0" w:lastRow="0" w:noHBand="0" w:noVBand="1" w:val="04A0"/>
      </w:tblPr>
      <w:tblGrid>
        <w:gridCol w:w="142"/>
        <w:gridCol w:w="9270"/>
      </w:tblGrid>
      <w:tr>
        <w:tc>
          <w:tcPr>
            <w:tcW w:type="dxa" w:w="142"/>
            <w:shd w:fill="00B7C3"/>
            <w:tcBorders>
              <w:top w:val="nil"/>
              <w:left w:val="nil"/>
              <w:bottom w:val="nil"/>
              <w:right w:val="nil"/>
            </w:tcBorders>
            <w:tcMar>
              <w:top w:w="0" w:type="dxa"/>
              <w:start w:w="0" w:type="dxa"/>
              <w:bottom w:w="0" w:type="dxa"/>
              <w:end w:w="0" w:type="dxa"/>
            </w:tcMar>
          </w:tcPr>
          <w:p/>
        </w:tc>
        <w:tc>
          <w:tcPr>
            <w:tcW w:type="dxa" w:w="9270"/>
            <w:shd w:fill="EAFBFB"/>
            <w:tcBorders>
              <w:top w:val="nil"/>
              <w:left w:val="nil"/>
              <w:bottom w:val="nil"/>
              <w:right w:val="nil"/>
            </w:tcBorders>
            <w:tcMar>
              <w:top w:w="120" w:type="dxa"/>
              <w:start w:w="150" w:type="dxa"/>
              <w:bottom w:w="120" w:type="dxa"/>
              <w:end w:w="150" w:type="dxa"/>
            </w:tcMar>
          </w:tcPr>
          <w:p>
            <w:pPr>
              <w:spacing w:after="20"/>
            </w:pPr>
            <w:r>
              <w:rPr>
                <w:rFonts w:ascii="Aptos" w:hAnsi="Aptos" w:eastAsia="Aptos"/>
                <w:b/>
                <w:color w:val="0E2F66"/>
                <w:sz w:val="20"/>
              </w:rPr>
              <w:t>Regla principal</w:t>
            </w:r>
          </w:p>
          <w:p>
            <w:pPr>
              <w:spacing w:after="0" w:line="252" w:lineRule="auto"/>
            </w:pPr>
            <w:r>
              <w:rPr>
                <w:rFonts w:ascii="Aptos" w:hAnsi="Aptos" w:eastAsia="Aptos"/>
                <w:color w:val="24344B"/>
                <w:sz w:val="19"/>
              </w:rPr>
              <w:t>La cantidad de recursos y el precio se equilibran por cobertura: las quincenas conservan valor propio, los bloques cortos se integran en la compra mensual y las coberturas mayores ofrecen un ahorro progresivo.</w:t>
            </w:r>
          </w:p>
        </w:tc>
      </w:tr>
    </w:tbl>
    <w:p>
      <w:pPr>
        <w:spacing w:after="0"/>
      </w:pPr>
    </w:p>
    <w:tbl>
      <w:tblPr>
        <w:tblW w:type="dxa" w:w="9412"/>
        <w:jc w:val="center"/>
        <w:tblLayout w:type="fixed"/>
        <w:tblLook w:firstColumn="1" w:firstRow="1" w:lastColumn="0" w:lastRow="0" w:noHBand="0" w:noVBand="1" w:val="04A0"/>
      </w:tblPr>
      <w:tblGrid>
        <w:gridCol w:w="2381"/>
        <w:gridCol w:w="7031"/>
      </w:tblGrid>
      <w:tr>
        <w:trPr>
          <w:cantSplit/>
          <w:tblHeader w:val="true"/>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Cobertura</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0E2F66"/>
          </w:tcPr>
          <w:p>
            <w:pPr>
              <w:spacing w:after="0" w:line="240" w:lineRule="auto"/>
            </w:pPr>
            <w:r>
              <w:rPr>
                <w:rFonts w:ascii="Aptos" w:hAnsi="Aptos" w:eastAsia="Aptos"/>
                <w:b/>
                <w:color w:val="FFFFFF"/>
                <w:sz w:val="17"/>
              </w:rPr>
              <w:t>Aplicación comercial</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Quincena</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Precio único por ruta para bloques de 7 a 10 jornadas.</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Mes</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Dos quincenas; un tramo de una sola quincena se incluye con el mensual anterior.</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Trimestre 1</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Precio ajustado a sus 46 jornadas.</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Trimestres 2 y 3</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Escala común por su extensión de 61 y 64 jornadas.</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color w:val="24344B"/>
                <w:sz w:val="17"/>
              </w:rPr>
              <w:t>Cierre anual</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FFFFF"/>
          </w:tcPr>
          <w:p>
            <w:pPr>
              <w:spacing w:after="0" w:line="240" w:lineRule="auto"/>
            </w:pPr>
            <w:r>
              <w:rPr>
                <w:rFonts w:ascii="Aptos" w:hAnsi="Aptos" w:eastAsia="Aptos"/>
                <w:b w:val="0"/>
                <w:color w:val="24344B"/>
                <w:sz w:val="17"/>
              </w:rPr>
              <w:t>Bloque especial de 14 jornadas con precio propio.</w:t>
            </w:r>
          </w:p>
        </w:tc>
      </w:tr>
      <w:tr>
        <w:trPr>
          <w:cantSplit/>
        </w:trPr>
        <w:tc>
          <w:tcPr>
            <w:tcW w:type="dxa" w:w="238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color w:val="24344B"/>
                <w:sz w:val="17"/>
              </w:rPr>
              <w:t>Ciclo completo</w:t>
            </w:r>
          </w:p>
        </w:tc>
        <w:tc>
          <w:tcPr>
            <w:tcW w:type="dxa" w:w="7031"/>
            <w:vAlign w:val="center"/>
            <w:tcMar>
              <w:top w:w="82" w:type="dxa"/>
              <w:start w:w="92" w:type="dxa"/>
              <w:bottom w:w="82" w:type="dxa"/>
              <w:end w:w="92" w:type="dxa"/>
            </w:tcMar>
            <w:tcBorders>
              <w:top w:val="single" w:sz="5" w:space="0" w:color="D8E3EE"/>
              <w:left w:val="single" w:sz="5" w:space="0" w:color="D8E3EE"/>
              <w:bottom w:val="single" w:sz="5" w:space="0" w:color="D8E3EE"/>
              <w:right w:val="single" w:sz="5" w:space="0" w:color="D8E3EE"/>
            </w:tcBorders>
            <w:shd w:fill="F5F7F9"/>
          </w:tcPr>
          <w:p>
            <w:pPr>
              <w:spacing w:after="0" w:line="240" w:lineRule="auto"/>
            </w:pPr>
            <w:r>
              <w:rPr>
                <w:rFonts w:ascii="Aptos" w:hAnsi="Aptos" w:eastAsia="Aptos"/>
                <w:b w:val="0"/>
                <w:color w:val="24344B"/>
                <w:sz w:val="17"/>
              </w:rPr>
              <w:t>Incluye T1, T2, T3 y cierre anual con el mayor ahorro.</w:t>
            </w:r>
          </w:p>
        </w:tc>
      </w:tr>
    </w:tbl>
    <w:p>
      <w:pPr>
        <w:spacing w:before="300" w:after="40"/>
        <w:jc w:val="center"/>
      </w:pPr>
      <w:r>
        <w:rPr>
          <w:rFonts w:ascii="Aptos" w:hAnsi="Aptos" w:eastAsia="Aptos"/>
          <w:b/>
          <w:color w:val="0E2F66"/>
          <w:sz w:val="22"/>
        </w:rPr>
        <w:t>Ruta Didáctica</w:t>
      </w:r>
    </w:p>
    <w:p>
      <w:pPr>
        <w:jc w:val="center"/>
      </w:pPr>
      <w:r>
        <w:rPr>
          <w:rFonts w:ascii="Aptos" w:hAnsi="Aptos" w:eastAsia="Aptos"/>
          <w:b/>
          <w:i/>
          <w:color w:val="0E2F66"/>
          <w:sz w:val="20"/>
        </w:rPr>
        <w:t>Cada aprendizaje tiene su camino.</w:t>
      </w:r>
    </w:p>
    <w:sectPr w:rsidR="00FC693F" w:rsidRPr="0006063C" w:rsidSect="00034616">
      <w:headerReference w:type="default" r:id="rId9"/>
      <w:footerReference w:type="default" r:id="rId10"/>
      <w:pgSz w:w="12240" w:h="15840"/>
      <w:pgMar w:top="839" w:right="935" w:bottom="822" w:left="935"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950"/>
      </w:tabs>
    </w:pPr>
    <w:r>
      <w:rPr>
        <w:rFonts w:ascii="Aptos" w:hAnsi="Aptos" w:eastAsia="Aptos"/>
        <w:i/>
        <w:color w:val="0E2F66"/>
        <w:sz w:val="16"/>
      </w:rPr>
      <w:t>Ruta Didáctica  ·  Cada aprendizaje tiene su camino.</w:t>
    </w:r>
    <w:r>
      <w:tab/>
    </w:r>
    <w:r>
      <w:rPr>
        <w:rFonts w:ascii="Aptos" w:hAnsi="Aptos" w:eastAsia="Aptos"/>
        <w:color w:val="687386"/>
        <w:sz w:val="16"/>
      </w:rPr>
      <w:t xml:space="preserve">Página </w:t>
    </w:r>
    <w:r>
      <w:rPr>
        <w:rFonts w:ascii="Aptos" w:hAnsi="Aptos" w:eastAsia="Aptos"/>
        <w:color w:val="687386"/>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12"/>
      <w:jc w:val="center"/>
      <w:tblLayout w:type="fixed"/>
      <w:tblLook w:firstColumn="1" w:firstRow="1" w:lastColumn="0" w:lastRow="0" w:noHBand="0" w:noVBand="1" w:val="04A0"/>
    </w:tblPr>
    <w:tblGrid>
      <w:gridCol w:w="2268"/>
      <w:gridCol w:w="7144"/>
    </w:tblGrid>
    <w:tr>
      <w:tc>
        <w:tcPr>
          <w:tcW w:type="dxa" w:w="2268"/>
          <w:tcBorders>
            <w:top w:val="nil"/>
            <w:left w:val="nil"/>
            <w:bottom w:val="nil"/>
            <w:right w:val="nil"/>
          </w:tcBorders>
          <w:tcMar>
            <w:top w:w="0" w:type="dxa"/>
            <w:start w:w="0" w:type="dxa"/>
            <w:bottom w:w="45" w:type="dxa"/>
            <w:end w:w="0" w:type="dxa"/>
          </w:tcMar>
        </w:tcPr>
        <w:p>
          <w:pPr>
            <w:jc w:val="left"/>
          </w:pPr>
          <w:r>
            <w:drawing>
              <wp:inline xmlns:a="http://schemas.openxmlformats.org/drawingml/2006/main" xmlns:pic="http://schemas.openxmlformats.org/drawingml/2006/picture">
                <wp:extent cx="1280160" cy="273550"/>
                <wp:docPr id="1" name="Picture 1"/>
                <wp:cNvGraphicFramePr>
                  <a:graphicFrameLocks noChangeAspect="1"/>
                </wp:cNvGraphicFramePr>
                <a:graphic>
                  <a:graphicData uri="http://schemas.openxmlformats.org/drawingml/2006/picture">
                    <pic:pic>
                      <pic:nvPicPr>
                        <pic:cNvPr id="0" name="Logo_Ruta_Didactica_recortado.png"/>
                        <pic:cNvPicPr/>
                      </pic:nvPicPr>
                      <pic:blipFill>
                        <a:blip r:embed="rId1"/>
                        <a:stretch>
                          <a:fillRect/>
                        </a:stretch>
                      </pic:blipFill>
                      <pic:spPr>
                        <a:xfrm>
                          <a:off x="0" y="0"/>
                          <a:ext cx="1280160" cy="273550"/>
                        </a:xfrm>
                        <a:prstGeom prst="rect"/>
                      </pic:spPr>
                    </pic:pic>
                  </a:graphicData>
                </a:graphic>
              </wp:inline>
            </w:drawing>
          </w:r>
        </w:p>
      </w:tc>
      <w:tc>
        <w:tcPr>
          <w:tcW w:type="dxa" w:w="7144"/>
          <w:tcBorders>
            <w:top w:val="nil"/>
            <w:left w:val="nil"/>
            <w:bottom w:val="nil"/>
            <w:right w:val="nil"/>
          </w:tcBorders>
          <w:tcMar>
            <w:top w:w="0" w:type="dxa"/>
            <w:start w:w="0" w:type="dxa"/>
            <w:bottom w:w="45" w:type="dxa"/>
            <w:end w:w="0" w:type="dxa"/>
          </w:tcMar>
        </w:tcPr>
        <w:p>
          <w:pPr>
            <w:jc w:val="right"/>
            <w:pBdr>
              <w:bottom w:val="single" w:sz="9" w:space="3" w:color="00B7C3"/>
            </w:pBdr>
          </w:pPr>
          <w:r>
            <w:rPr>
              <w:rFonts w:ascii="Aptos" w:hAnsi="Aptos" w:eastAsia="Aptos"/>
              <w:b/>
              <w:color w:val="0E2F66"/>
              <w:sz w:val="16"/>
            </w:rPr>
            <w:t>Estructura comercial y sistema de venta · 2026-2027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 Didáctica · Estructura comercial y sistema de venta 2026-2027</dc:title>
  <dc:subject>Paquetes, coberturas, precios, acceso y reglas comerciales</dc:subject>
  <dc:creator>Ruta Didáctica</dc:creator>
  <cp:keywords>Ruta Didáctica, paquetes, precios, quincena, mes, trimestre, ciclo completo</cp:keywords>
  <dc:description>generated by python-docx</dc:description>
  <cp:lastModifiedBy/>
  <cp:revision>1</cp:revision>
  <dcterms:created xsi:type="dcterms:W3CDTF">2013-12-23T23:15:00Z</dcterms:created>
  <dcterms:modified xsi:type="dcterms:W3CDTF">2013-12-23T23:15:00Z</dcterms:modified>
  <cp:category/>
</cp:coreProperties>
</file>