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悬臂梁端载：位移与中部应力场验证报告</w:t>
      </w:r>
    </w:p>
    <w:p>
      <w:r>
        <w:t>本次真实计算使用三组 Q4 网格。最细 80×16 网格的端位移相对误差为 0.0846986%，中部轴向应力 L2 误差为 0.63553%。这些量满足严格小于 3% 的门槛；固支端和端载区域的局部峰值应力没有获得认证。</w:t>
      </w:r>
    </w:p>
    <w:p>
      <w:pPr>
        <w:pStyle w:val="Heading2"/>
      </w:pPr>
      <w:r>
        <w:t>1. 问题与计算条件</w:t>
      </w:r>
    </w:p>
    <w:p>
      <w:r>
        <w:t>矩形条带长 L=1 m、高 H=0.1 m、厚 t=0.012 m，E=210 GPa、ν=0.30。左端整边固定 ux、uy，右端均布竖向载荷合力 P=-100 N。单元为全积分 Q4、线弹性平面应力，采用双精度求解。</w:t>
      </w:r>
    </w:p>
    <w:p>
      <w:r>
        <w:t>端载按边段数分配并对两个角点取半权，确保总力等于 -100 N。全部网格、载荷和边界条件保持不变，仅加密两个方向。</w:t>
      </w:r>
    </w:p>
    <w:p>
      <w:pPr>
        <w:pStyle w:val="Heading2"/>
      </w:pPr>
      <w:r>
        <w:t>2. 独立参考与验收范围</w:t>
      </w:r>
    </w:p>
    <w:p>
      <w:pPr/>
      <w:r>
        <w:t>I = t H³ / 12 = 1.0e-6 m⁴</w:t>
        <w:br/>
        <w:t>v_ref(L) = P L³ / (3 E I) = -0.158730158730 mm</w:t>
        <w:br/>
        <w:t>sigma_x_ref(x,y) = -P (L-x) y / I</w:t>
        <w:br/>
        <w:t>sigma_y_ref = 0</w:t>
        <w:br/>
        <w:t>tau_xy_ref(x,y) = P (H²/4-y²) / (2 I)</w:t>
        <w:br/>
        <w:t>von_Mises_ref = sqrt(sigma_x_ref² + 3 tau_xy_ref²)</w:t>
      </w:r>
    </w:p>
    <w:p>
      <w:r>
        <w:t>端位移采用 Euler–Bernoulli 工程参考。应力比较区在计算前固定为 0.2L≤x≤0.8L 的全部单元中心，覆盖截面高度，避免把固支约束和均布端载的局部二维效应当成梁理论误差。参考应力满足内部平衡；它是中部梁应力参考，不能充当当前二维边界条件的全域精确解。</w:t>
      </w:r>
    </w:p>
    <w:p>
      <w:r>
        <w:t>应力误差为相同物理坐标的 ||s_FE-s_ref||₂/||s_ref||₂，规则等面积网格中等同于面积加权 L2 比较。轴向、剪应力、完整应力张量和 von Mises 分别检验。参考分量为零时不做逐点除零，使用完整张量的非零范数。</w:t>
      </w:r>
    </w:p>
    <w:p>
      <w:pPr>
        <w:pStyle w:val="Heading2"/>
      </w:pPr>
      <w:r>
        <w:t>3. 计算过程</w:t>
      </w:r>
    </w:p>
    <w:p>
      <w:r>
        <w:t>1. 生成 20×4、40×8、80×16 网格并组装 Q4 刚度。</w:t>
      </w:r>
    </w:p>
    <w:p>
      <w:r>
        <w:t>2. 求解位移，恢复单元中心 sigma_x、sigma_y、tau_xy 和 von Mises。</w:t>
      </w:r>
    </w:p>
    <w:p>
      <w:r>
        <w:t>3. 由原始场再次计算端位移及应力误差，检查字段完整性、有限性、网格坐标和 von Mises 一致性。</w:t>
      </w:r>
    </w:p>
    <w:p>
      <w:r>
        <w:t>4. 检查总载荷、反力平衡及三网格误差下降，最终网格的所有声明指标均须通过。</w:t>
      </w:r>
    </w:p>
    <w:p>
      <w:pPr>
        <w:pStyle w:val="Heading2"/>
      </w:pPr>
      <w:r>
        <w:t>4. 真实计算结果与相对误差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网格</w:t>
            </w:r>
          </w:p>
        </w:tc>
        <w:tc>
          <w:tcPr>
            <w:tcW w:type="dxa" w:w="1080"/>
          </w:tcPr>
          <w:p>
            <w:r>
              <w:t>节点/单元</w:t>
            </w:r>
          </w:p>
        </w:tc>
        <w:tc>
          <w:tcPr>
            <w:tcW w:type="dxa" w:w="1080"/>
          </w:tcPr>
          <w:p>
            <w:r>
              <w:t>端位移 mm</w:t>
            </w:r>
          </w:p>
        </w:tc>
        <w:tc>
          <w:tcPr>
            <w:tcW w:type="dxa" w:w="1080"/>
          </w:tcPr>
          <w:p>
            <w:r>
              <w:t>位移误差</w:t>
            </w:r>
          </w:p>
        </w:tc>
        <w:tc>
          <w:tcPr>
            <w:tcW w:type="dxa" w:w="1080"/>
          </w:tcPr>
          <w:p>
            <w:r>
              <w:t>sigma_x L2</w:t>
            </w:r>
          </w:p>
        </w:tc>
        <w:tc>
          <w:tcPr>
            <w:tcW w:type="dxa" w:w="1080"/>
          </w:tcPr>
          <w:p>
            <w:r>
              <w:t>tau_xy L2</w:t>
            </w:r>
          </w:p>
        </w:tc>
        <w:tc>
          <w:tcPr>
            <w:tcW w:type="dxa" w:w="1080"/>
          </w:tcPr>
          <w:p>
            <w:r>
              <w:t>von Mises L2</w:t>
            </w:r>
          </w:p>
        </w:tc>
        <w:tc>
          <w:tcPr>
            <w:tcW w:type="dxa" w:w="1080"/>
          </w:tcPr>
          <w:p>
            <w:r>
              <w:t>网格状态</w:t>
            </w:r>
          </w:p>
        </w:tc>
      </w:tr>
      <w:tr>
        <w:tc>
          <w:tcPr>
            <w:tcW w:type="dxa" w:w="1080"/>
          </w:tcPr>
          <w:p>
            <w:r>
              <w:t>20×4</w:t>
            </w:r>
          </w:p>
        </w:tc>
        <w:tc>
          <w:tcPr>
            <w:tcW w:type="dxa" w:w="1080"/>
          </w:tcPr>
          <w:p>
            <w:r>
              <w:t>105/80</w:t>
            </w:r>
          </w:p>
        </w:tc>
        <w:tc>
          <w:tcPr>
            <w:tcW w:type="dxa" w:w="1080"/>
          </w:tcPr>
          <w:p>
            <w:r>
              <w:t>-0.144485040</w:t>
            </w:r>
          </w:p>
        </w:tc>
        <w:tc>
          <w:tcPr>
            <w:tcW w:type="dxa" w:w="1080"/>
          </w:tcPr>
          <w:p>
            <w:r>
              <w:t>8.97442%</w:t>
            </w:r>
          </w:p>
        </w:tc>
        <w:tc>
          <w:tcPr>
            <w:tcW w:type="dxa" w:w="1080"/>
          </w:tcPr>
          <w:p>
            <w:r>
              <w:t>9.28343%</w:t>
            </w:r>
          </w:p>
        </w:tc>
        <w:tc>
          <w:tcPr>
            <w:tcW w:type="dxa" w:w="1080"/>
          </w:tcPr>
          <w:p>
            <w:r>
              <w:t>4.26283%</w:t>
            </w:r>
          </w:p>
        </w:tc>
        <w:tc>
          <w:tcPr>
            <w:tcW w:type="dxa" w:w="1080"/>
          </w:tcPr>
          <w:p>
            <w:r>
              <w:t>9.22046%</w:t>
            </w:r>
          </w:p>
        </w:tc>
        <w:tc>
          <w:tcPr>
            <w:tcW w:type="dxa" w:w="1080"/>
          </w:tcPr>
          <w:p>
            <w:r>
              <w:t>blocked</w:t>
            </w:r>
          </w:p>
        </w:tc>
      </w:tr>
      <w:tr>
        <w:tc>
          <w:tcPr>
            <w:tcW w:type="dxa" w:w="1080"/>
          </w:tcPr>
          <w:p>
            <w:r>
              <w:t>40×8</w:t>
            </w:r>
          </w:p>
        </w:tc>
        <w:tc>
          <w:tcPr>
            <w:tcW w:type="dxa" w:w="1080"/>
          </w:tcPr>
          <w:p>
            <w:r>
              <w:t>369/320</w:t>
            </w:r>
          </w:p>
        </w:tc>
        <w:tc>
          <w:tcPr>
            <w:tcW w:type="dxa" w:w="1080"/>
          </w:tcPr>
          <w:p>
            <w:r>
              <w:t>-0.155519679</w:t>
            </w:r>
          </w:p>
        </w:tc>
        <w:tc>
          <w:tcPr>
            <w:tcW w:type="dxa" w:w="1080"/>
          </w:tcPr>
          <w:p>
            <w:r>
              <w:t>2.0226%</w:t>
            </w:r>
          </w:p>
        </w:tc>
        <w:tc>
          <w:tcPr>
            <w:tcW w:type="dxa" w:w="1080"/>
          </w:tcPr>
          <w:p>
            <w:r>
              <w:t>2.49456%</w:t>
            </w:r>
          </w:p>
        </w:tc>
        <w:tc>
          <w:tcPr>
            <w:tcW w:type="dxa" w:w="1080"/>
          </w:tcPr>
          <w:p>
            <w:r>
              <w:t>1.21054%</w:t>
            </w:r>
          </w:p>
        </w:tc>
        <w:tc>
          <w:tcPr>
            <w:tcW w:type="dxa" w:w="1080"/>
          </w:tcPr>
          <w:p>
            <w:r>
              <w:t>2.4793%</w:t>
            </w:r>
          </w:p>
        </w:tc>
        <w:tc>
          <w:tcPr>
            <w:tcW w:type="dxa" w:w="1080"/>
          </w:tcPr>
          <w:p>
            <w:r>
              <w:t>qualified</w:t>
            </w:r>
          </w:p>
        </w:tc>
      </w:tr>
      <w:tr>
        <w:tc>
          <w:tcPr>
            <w:tcW w:type="dxa" w:w="1080"/>
          </w:tcPr>
          <w:p>
            <w:r>
              <w:t>80×16</w:t>
            </w:r>
          </w:p>
        </w:tc>
        <w:tc>
          <w:tcPr>
            <w:tcW w:type="dxa" w:w="1080"/>
          </w:tcPr>
          <w:p>
            <w:r>
              <w:t>1377/1280</w:t>
            </w:r>
          </w:p>
        </w:tc>
        <w:tc>
          <w:tcPr>
            <w:tcW w:type="dxa" w:w="1080"/>
          </w:tcPr>
          <w:p>
            <w:r>
              <w:t>-0.158595716</w:t>
            </w:r>
          </w:p>
        </w:tc>
        <w:tc>
          <w:tcPr>
            <w:tcW w:type="dxa" w:w="1080"/>
          </w:tcPr>
          <w:p>
            <w:r>
              <w:t>0.0846986%</w:t>
            </w:r>
          </w:p>
        </w:tc>
        <w:tc>
          <w:tcPr>
            <w:tcW w:type="dxa" w:w="1080"/>
          </w:tcPr>
          <w:p>
            <w:r>
              <w:t>0.63553%</w:t>
            </w:r>
          </w:p>
        </w:tc>
        <w:tc>
          <w:tcPr>
            <w:tcW w:type="dxa" w:w="1080"/>
          </w:tcPr>
          <w:p>
            <w:r>
              <w:t>0.31272%</w:t>
            </w:r>
          </w:p>
        </w:tc>
        <w:tc>
          <w:tcPr>
            <w:tcW w:type="dxa" w:w="1080"/>
          </w:tcPr>
          <w:p>
            <w:r>
              <w:t>0.631762%</w:t>
            </w:r>
          </w:p>
        </w:tc>
        <w:tc>
          <w:tcPr>
            <w:tcW w:type="dxa" w:w="1080"/>
          </w:tcPr>
          <w:p>
            <w:r>
              <w:t>qualified</w:t>
            </w:r>
          </w:p>
        </w:tc>
      </w:tr>
    </w:tbl>
    <w:p>
      <w:r>
        <w:t>完整应力张量的最细网格误差为 0.634669%。粗网格保留 blocked 标记，未把其数值改写成合格结果。位移和全部声明应力误差随网格加密下降。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网格</w:t>
            </w:r>
          </w:p>
        </w:tc>
        <w:tc>
          <w:tcPr>
            <w:tcW w:type="dxa" w:w="2160"/>
          </w:tcPr>
          <w:p>
            <w:r>
              <w:t>外力 N</w:t>
            </w:r>
          </w:p>
        </w:tc>
        <w:tc>
          <w:tcPr>
            <w:tcW w:type="dxa" w:w="2160"/>
          </w:tcPr>
          <w:p>
            <w:r>
              <w:t>约束反力 N</w:t>
            </w:r>
          </w:p>
        </w:tc>
        <w:tc>
          <w:tcPr>
            <w:tcW w:type="dxa" w:w="2160"/>
          </w:tcPr>
          <w:p>
            <w:r>
              <w:t>相对力不平衡</w:t>
            </w:r>
          </w:p>
        </w:tc>
      </w:tr>
      <w:tr>
        <w:tc>
          <w:tcPr>
            <w:tcW w:type="dxa" w:w="2160"/>
          </w:tcPr>
          <w:p>
            <w:r>
              <w:t>20×4</w:t>
            </w:r>
          </w:p>
        </w:tc>
        <w:tc>
          <w:tcPr>
            <w:tcW w:type="dxa" w:w="2160"/>
          </w:tcPr>
          <w:p>
            <w:r>
              <w:t>-100.000000000000</w:t>
            </w:r>
          </w:p>
        </w:tc>
        <w:tc>
          <w:tcPr>
            <w:tcW w:type="dxa" w:w="2160"/>
          </w:tcPr>
          <w:p>
            <w:r>
              <w:t>100.000000001190</w:t>
            </w:r>
          </w:p>
        </w:tc>
        <w:tc>
          <w:tcPr>
            <w:tcW w:type="dxa" w:w="2160"/>
          </w:tcPr>
          <w:p>
            <w:r>
              <w:t>1.19e-11</w:t>
            </w:r>
          </w:p>
        </w:tc>
      </w:tr>
      <w:tr>
        <w:tc>
          <w:tcPr>
            <w:tcW w:type="dxa" w:w="2160"/>
          </w:tcPr>
          <w:p>
            <w:r>
              <w:t>40×8</w:t>
            </w:r>
          </w:p>
        </w:tc>
        <w:tc>
          <w:tcPr>
            <w:tcW w:type="dxa" w:w="2160"/>
          </w:tcPr>
          <w:p>
            <w:r>
              <w:t>-100.000000000000</w:t>
            </w:r>
          </w:p>
        </w:tc>
        <w:tc>
          <w:tcPr>
            <w:tcW w:type="dxa" w:w="2160"/>
          </w:tcPr>
          <w:p>
            <w:r>
              <w:t>99.999999998261</w:t>
            </w:r>
          </w:p>
        </w:tc>
        <w:tc>
          <w:tcPr>
            <w:tcW w:type="dxa" w:w="2160"/>
          </w:tcPr>
          <w:p>
            <w:r>
              <w:t>1.739e-11</w:t>
            </w:r>
          </w:p>
        </w:tc>
      </w:tr>
      <w:tr>
        <w:tc>
          <w:tcPr>
            <w:tcW w:type="dxa" w:w="2160"/>
          </w:tcPr>
          <w:p>
            <w:r>
              <w:t>80×16</w:t>
            </w:r>
          </w:p>
        </w:tc>
        <w:tc>
          <w:tcPr>
            <w:tcW w:type="dxa" w:w="2160"/>
          </w:tcPr>
          <w:p>
            <w:r>
              <w:t>-100.000000000000</w:t>
            </w:r>
          </w:p>
        </w:tc>
        <w:tc>
          <w:tcPr>
            <w:tcW w:type="dxa" w:w="2160"/>
          </w:tcPr>
          <w:p>
            <w:r>
              <w:t>99.999999992090</w:t>
            </w:r>
          </w:p>
        </w:tc>
        <w:tc>
          <w:tcPr>
            <w:tcW w:type="dxa" w:w="2160"/>
          </w:tcPr>
          <w:p>
            <w:r>
              <w:t>7.91e-11</w:t>
            </w:r>
          </w:p>
        </w:tc>
      </w:tr>
    </w:tbl>
    <w:p>
      <w:r>
        <w:t>力平衡限为 1e-8，载荷相对误差限为 1e-10。</w:t>
      </w:r>
    </w:p>
    <w:p>
      <w:pPr>
        <w:pStyle w:val="Heading2"/>
      </w:pPr>
      <w:r>
        <w:t>5. 位移、应力和误差云图</w:t>
      </w:r>
    </w:p>
    <w:p>
      <w:r>
        <w:drawing>
          <wp:inline xmlns:a="http://schemas.openxmlformats.org/drawingml/2006/main" xmlns:pic="http://schemas.openxmlformats.org/drawingml/2006/picture">
            <wp:extent cx="5669280" cy="26456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lacem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45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80×16 真实节点位移 uy，单位 mm</w:t>
      </w:r>
    </w:p>
    <w:p>
      <w:r>
        <w:drawing>
          <wp:inline xmlns:a="http://schemas.openxmlformats.org/drawingml/2006/main" xmlns:pic="http://schemas.openxmlformats.org/drawingml/2006/picture">
            <wp:extent cx="5669280" cy="26456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ma_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45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80×16 轴向应力 sigma_x，单位 MPa</w:t>
      </w:r>
    </w:p>
    <w:p>
      <w:r>
        <w:drawing>
          <wp:inline xmlns:a="http://schemas.openxmlformats.org/drawingml/2006/main" xmlns:pic="http://schemas.openxmlformats.org/drawingml/2006/picture">
            <wp:extent cx="5669280" cy="26456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u_x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45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80×16 剪应力 tau_xy，单位 MPa</w:t>
      </w:r>
    </w:p>
    <w:p>
      <w:r>
        <w:drawing>
          <wp:inline xmlns:a="http://schemas.openxmlformats.org/drawingml/2006/main" xmlns:pic="http://schemas.openxmlformats.org/drawingml/2006/picture">
            <wp:extent cx="5669280" cy="26456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n_mis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45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80×16 von Mises 应力，单位 MPa</w:t>
      </w:r>
    </w:p>
    <w:p>
      <w:r>
        <w:drawing>
          <wp:inline xmlns:a="http://schemas.openxmlformats.org/drawingml/2006/main" xmlns:pic="http://schemas.openxmlformats.org/drawingml/2006/picture">
            <wp:extent cx="5669280" cy="323958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verge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39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三网格位移与应力误差曲线</w:t>
      </w:r>
    </w:p>
    <w:p>
      <w:r>
        <w:t>云图使用原始单元中心场的填色等值线，延伸到几何边界的图像采用相邻中心值延伸，属于显示插值。边界颜色不是新计算的边界应力；插值不参与任何误差或验收计算。</w:t>
      </w:r>
    </w:p>
    <w:p>
      <w:pPr>
        <w:pStyle w:val="Heading2"/>
      </w:pPr>
      <w:r>
        <w:t>6. 能力边界与结论</w:t>
      </w:r>
    </w:p>
    <w:p>
      <w:r>
        <w:t>该报告验证端位移以及声明中部区域的梁应力指标。不能据此声称全域峰值应力、塑性、接触或真实船体已达到 3% 精度。三网格应力收敛已验证，最终结果在上述范围内通过。</w:t>
      </w:r>
    </w:p>
    <w:p>
      <w:pPr>
        <w:pStyle w:val="Heading2"/>
      </w:pPr>
      <w:r>
        <w:t>7. 复现与原始证据</w:t>
      </w:r>
    </w:p>
    <w:p>
      <w:pPr/>
      <w:r>
        <w:t>python -m pip install -e ".[dev,reports]"</w:t>
        <w:br/>
        <w:t>OMP_NUM_THREADS=1 PYTHONPATH=src .venv/bin/python scripts/run_cantilever_fe_benchmark.py --output docs/assets/benchmark-clouds/cantilever-fe/results.json</w:t>
        <w:br/>
        <w:t>PYTHONPATH=src .venv/bin/python scripts/build_verified_benchmark_reports.py</w:t>
      </w:r>
    </w:p>
    <w:p>
      <w:r>
        <w:t>完整位移、应力、载荷及网格验收 JSON。HTML、PDF、Word 位于相邻 exports 目录，内容来自本 Markdown，并包含全部云图和表格。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  <w:rFonts w:eastAsia="SimSu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rFonts w:eastAsia="SimSu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rFonts w:eastAsia="SimSu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rFonts w:eastAsia="SimSu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rFonts w:eastAsia="SimSu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