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18° 开孔半球壳：修正后的位移收敛与应力场</w:t>
      </w:r>
    </w:p>
    <w:p>
      <w:pPr>
        <w:pStyle w:val="Heading2"/>
      </w:pPr>
      <w:r>
        <w:t>模型与求解</w:t>
      </w:r>
    </w:p>
    <w:p>
      <w:r>
        <w:t>R=10，t=0.04，E=6.825×10⁷，ν=0.3，18° 开孔四分之一半球，赤道两角交替径向单位力。对称面约束及一个垂直平移规范约束。基准长度/力单位保持原定义。</w:t>
      </w:r>
    </w:p>
    <w:p>
      <w:pPr>
        <w:pStyle w:val="Heading2"/>
      </w:pPr>
      <w:r>
        <w:t>独立参考与验收范围</w:t>
      </w:r>
    </w:p>
    <w:p>
      <w:r>
        <w:t>MacNeal–Harder (1985)，DOI 10.1016/0168-874X(85)90003-4，沿用加载赤道点参考径向位移 0.0924。局部 Mindlin 坐标导数转换已修正为逆转置，消除了斜网格刚体转动的虚假刚度。旧 12×12 的 0.69% 误差记录作废。</w:t>
      </w:r>
    </w:p>
    <w:p>
      <w:r>
        <w:t>默认 drilling_factor=10⁻⁶ 的点位移收敛与平衡单独验证。表面应力由局部膜应变±tκ/2恢复；没有独立应力参考。两数量级 drilling 参数检查独立列出，失败会阻止整体稳健性资格，禁止选参数贴合参考。</w:t>
      </w:r>
    </w:p>
    <w:p>
      <w:pPr>
        <w:pStyle w:val="Heading2"/>
      </w:pPr>
      <w:r>
        <w:t>网格收敛结果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网格</w:t>
            </w:r>
          </w:p>
        </w:tc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值</w:t>
            </w:r>
          </w:p>
        </w:tc>
      </w:tr>
      <w:tr>
        <w:tc>
          <w:tcPr>
            <w:tcW w:type="dxa" w:w="2880"/>
          </w:tcPr>
          <w:p>
            <w:r>
              <w:t>8×8</w:t>
            </w:r>
          </w:p>
        </w:tc>
        <w:tc>
          <w:tcPr>
            <w:tcW w:type="dxa" w:w="2880"/>
          </w:tcPr>
          <w:p>
            <w:r>
              <w:t>response_relative_error</w:t>
            </w:r>
          </w:p>
        </w:tc>
        <w:tc>
          <w:tcPr>
            <w:tcW w:type="dxa" w:w="2880"/>
          </w:tcPr>
          <w:p>
            <w:r>
              <w:t>5.200217%</w:t>
            </w:r>
          </w:p>
        </w:tc>
      </w:tr>
      <w:tr>
        <w:tc>
          <w:tcPr>
            <w:tcW w:type="dxa" w:w="2880"/>
          </w:tcPr>
          <w:p>
            <w:r>
              <w:t>8×8</w:t>
            </w:r>
          </w:p>
        </w:tc>
        <w:tc>
          <w:tcPr>
            <w:tcW w:type="dxa" w:w="2880"/>
          </w:tcPr>
          <w:p>
            <w:r>
              <w:t>本网格验收</w:t>
            </w:r>
          </w:p>
        </w:tc>
        <w:tc>
          <w:tcPr>
            <w:tcW w:type="dxa" w:w="2880"/>
          </w:tcPr>
          <w:p>
            <w:r>
              <w:t>未通过</w:t>
            </w:r>
          </w:p>
        </w:tc>
      </w:tr>
      <w:tr>
        <w:tc>
          <w:tcPr>
            <w:tcW w:type="dxa" w:w="2880"/>
          </w:tcPr>
          <w:p>
            <w:r>
              <w:t>12×12</w:t>
            </w:r>
          </w:p>
        </w:tc>
        <w:tc>
          <w:tcPr>
            <w:tcW w:type="dxa" w:w="2880"/>
          </w:tcPr>
          <w:p>
            <w:r>
              <w:t>response_relative_error</w:t>
            </w:r>
          </w:p>
        </w:tc>
        <w:tc>
          <w:tcPr>
            <w:tcW w:type="dxa" w:w="2880"/>
          </w:tcPr>
          <w:p>
            <w:r>
              <w:t>3.681648%</w:t>
            </w:r>
          </w:p>
        </w:tc>
      </w:tr>
      <w:tr>
        <w:tc>
          <w:tcPr>
            <w:tcW w:type="dxa" w:w="2880"/>
          </w:tcPr>
          <w:p>
            <w:r>
              <w:t>12×12</w:t>
            </w:r>
          </w:p>
        </w:tc>
        <w:tc>
          <w:tcPr>
            <w:tcW w:type="dxa" w:w="2880"/>
          </w:tcPr>
          <w:p>
            <w:r>
              <w:t>本网格验收</w:t>
            </w:r>
          </w:p>
        </w:tc>
        <w:tc>
          <w:tcPr>
            <w:tcW w:type="dxa" w:w="2880"/>
          </w:tcPr>
          <w:p>
            <w:r>
              <w:t>未通过</w:t>
            </w:r>
          </w:p>
        </w:tc>
      </w:tr>
      <w:tr>
        <w:tc>
          <w:tcPr>
            <w:tcW w:type="dxa" w:w="2880"/>
          </w:tcPr>
          <w:p>
            <w:r>
              <w:t>16×16</w:t>
            </w:r>
          </w:p>
        </w:tc>
        <w:tc>
          <w:tcPr>
            <w:tcW w:type="dxa" w:w="2880"/>
          </w:tcPr>
          <w:p>
            <w:r>
              <w:t>response_relative_error</w:t>
            </w:r>
          </w:p>
        </w:tc>
        <w:tc>
          <w:tcPr>
            <w:tcW w:type="dxa" w:w="2880"/>
          </w:tcPr>
          <w:p>
            <w:r>
              <w:t>3.040050%</w:t>
            </w:r>
          </w:p>
        </w:tc>
      </w:tr>
      <w:tr>
        <w:tc>
          <w:tcPr>
            <w:tcW w:type="dxa" w:w="2880"/>
          </w:tcPr>
          <w:p>
            <w:r>
              <w:t>16×16</w:t>
            </w:r>
          </w:p>
        </w:tc>
        <w:tc>
          <w:tcPr>
            <w:tcW w:type="dxa" w:w="2880"/>
          </w:tcPr>
          <w:p>
            <w:r>
              <w:t>本网格验收</w:t>
            </w:r>
          </w:p>
        </w:tc>
        <w:tc>
          <w:tcPr>
            <w:tcW w:type="dxa" w:w="2880"/>
          </w:tcPr>
          <w:p>
            <w:r>
              <w:t>未通过</w:t>
            </w:r>
          </w:p>
        </w:tc>
      </w:tr>
      <w:tr>
        <w:tc>
          <w:tcPr>
            <w:tcW w:type="dxa" w:w="2880"/>
          </w:tcPr>
          <w:p>
            <w:r>
              <w:t>20×20</w:t>
            </w:r>
          </w:p>
        </w:tc>
        <w:tc>
          <w:tcPr>
            <w:tcW w:type="dxa" w:w="2880"/>
          </w:tcPr>
          <w:p>
            <w:r>
              <w:t>response_relative_error</w:t>
            </w:r>
          </w:p>
        </w:tc>
        <w:tc>
          <w:tcPr>
            <w:tcW w:type="dxa" w:w="2880"/>
          </w:tcPr>
          <w:p>
            <w:r>
              <w:t>2.693225%</w:t>
            </w:r>
          </w:p>
        </w:tc>
      </w:tr>
      <w:tr>
        <w:tc>
          <w:tcPr>
            <w:tcW w:type="dxa" w:w="2880"/>
          </w:tcPr>
          <w:p>
            <w:r>
              <w:t>20×20</w:t>
            </w:r>
          </w:p>
        </w:tc>
        <w:tc>
          <w:tcPr>
            <w:tcW w:type="dxa" w:w="2880"/>
          </w:tcPr>
          <w:p>
            <w:r>
              <w:t>本网格验收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24×24</w:t>
            </w:r>
          </w:p>
        </w:tc>
        <w:tc>
          <w:tcPr>
            <w:tcW w:type="dxa" w:w="2880"/>
          </w:tcPr>
          <w:p>
            <w:r>
              <w:t>response_relative_error</w:t>
            </w:r>
          </w:p>
        </w:tc>
        <w:tc>
          <w:tcPr>
            <w:tcW w:type="dxa" w:w="2880"/>
          </w:tcPr>
          <w:p>
            <w:r>
              <w:t>2.472504%</w:t>
            </w:r>
          </w:p>
        </w:tc>
      </w:tr>
      <w:tr>
        <w:tc>
          <w:tcPr>
            <w:tcW w:type="dxa" w:w="2880"/>
          </w:tcPr>
          <w:p>
            <w:r>
              <w:t>24×24</w:t>
            </w:r>
          </w:p>
        </w:tc>
        <w:tc>
          <w:tcPr>
            <w:tcW w:type="dxa" w:w="2880"/>
          </w:tcPr>
          <w:p>
            <w:r>
              <w:t>本网格验收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28×28</w:t>
            </w:r>
          </w:p>
        </w:tc>
        <w:tc>
          <w:tcPr>
            <w:tcW w:type="dxa" w:w="2880"/>
          </w:tcPr>
          <w:p>
            <w:r>
              <w:t>response_relative_error</w:t>
            </w:r>
          </w:p>
        </w:tc>
        <w:tc>
          <w:tcPr>
            <w:tcW w:type="dxa" w:w="2880"/>
          </w:tcPr>
          <w:p>
            <w:r>
              <w:t>2.317068%</w:t>
            </w:r>
          </w:p>
        </w:tc>
      </w:tr>
      <w:tr>
        <w:tc>
          <w:tcPr>
            <w:tcW w:type="dxa" w:w="2880"/>
          </w:tcPr>
          <w:p>
            <w:r>
              <w:t>28×28</w:t>
            </w:r>
          </w:p>
        </w:tc>
        <w:tc>
          <w:tcPr>
            <w:tcW w:type="dxa" w:w="2880"/>
          </w:tcPr>
          <w:p>
            <w:r>
              <w:t>本网格验收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32×32</w:t>
            </w:r>
          </w:p>
        </w:tc>
        <w:tc>
          <w:tcPr>
            <w:tcW w:type="dxa" w:w="2880"/>
          </w:tcPr>
          <w:p>
            <w:r>
              <w:t>response_relative_error</w:t>
            </w:r>
          </w:p>
        </w:tc>
        <w:tc>
          <w:tcPr>
            <w:tcW w:type="dxa" w:w="2880"/>
          </w:tcPr>
          <w:p>
            <w:r>
              <w:t>2.200374%</w:t>
            </w:r>
          </w:p>
        </w:tc>
      </w:tr>
      <w:tr>
        <w:tc>
          <w:tcPr>
            <w:tcW w:type="dxa" w:w="2880"/>
          </w:tcPr>
          <w:p>
            <w:r>
              <w:t>32×32</w:t>
            </w:r>
          </w:p>
        </w:tc>
        <w:tc>
          <w:tcPr>
            <w:tcW w:type="dxa" w:w="2880"/>
          </w:tcPr>
          <w:p>
            <w:r>
              <w:t>本网格验收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40×40</w:t>
            </w:r>
          </w:p>
        </w:tc>
        <w:tc>
          <w:tcPr>
            <w:tcW w:type="dxa" w:w="2880"/>
          </w:tcPr>
          <w:p>
            <w:r>
              <w:t>response_relative_error</w:t>
            </w:r>
          </w:p>
        </w:tc>
        <w:tc>
          <w:tcPr>
            <w:tcW w:type="dxa" w:w="2880"/>
          </w:tcPr>
          <w:p>
            <w:r>
              <w:t>2.035156%</w:t>
            </w:r>
          </w:p>
        </w:tc>
      </w:tr>
      <w:tr>
        <w:tc>
          <w:tcPr>
            <w:tcW w:type="dxa" w:w="2880"/>
          </w:tcPr>
          <w:p>
            <w:r>
              <w:t>40×40</w:t>
            </w:r>
          </w:p>
        </w:tc>
        <w:tc>
          <w:tcPr>
            <w:tcW w:type="dxa" w:w="2880"/>
          </w:tcPr>
          <w:p>
            <w:r>
              <w:t>本网格验收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</w:tbl>
    <w:p>
      <w:pPr>
        <w:pStyle w:val="Heading2"/>
      </w:pPr>
      <w:r>
        <w:t>求解与平衡复核</w:t>
      </w:r>
    </w:p>
    <w:p>
      <w:r>
        <w:t>最细模型：1681 个节点，1600 个单元；双精度实际 FE 位移恢复上述应力。</w:t>
      </w:r>
    </w:p>
    <w:p>
      <w:r>
        <w:t>线性投影 Q4 壳每节点六自由度，膜与板采用选择性积分。自由残差范数 1.556e-08，合力相对误差 2.919e-09，合矩相对误差 2.002e-09；门槛 10⁻⁷。</w:t>
      </w:r>
    </w:p>
    <w:p>
      <w:pPr>
        <w:pStyle w:val="Heading2"/>
      </w:pPr>
      <w:r>
        <w:t>参数稳健性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drilling factor（40×40）</w:t>
            </w:r>
          </w:p>
        </w:tc>
        <w:tc>
          <w:tcPr>
            <w:tcW w:type="dxa" w:w="2880"/>
          </w:tcPr>
          <w:p>
            <w:r>
              <w:t>位移误差</w:t>
            </w:r>
          </w:p>
        </w:tc>
        <w:tc>
          <w:tcPr>
            <w:tcW w:type="dxa" w:w="2880"/>
          </w:tcPr>
          <w:p>
            <w:r>
              <w:t>全部验收</w:t>
            </w:r>
          </w:p>
        </w:tc>
      </w:tr>
      <w:tr>
        <w:tc>
          <w:tcPr>
            <w:tcW w:type="dxa" w:w="2880"/>
          </w:tcPr>
          <w:p>
            <w:r>
              <w:t>1e-07</w:t>
            </w:r>
          </w:p>
        </w:tc>
        <w:tc>
          <w:tcPr>
            <w:tcW w:type="dxa" w:w="2880"/>
          </w:tcPr>
          <w:p>
            <w:r>
              <w:t>2.919689%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1e-06</w:t>
            </w:r>
          </w:p>
        </w:tc>
        <w:tc>
          <w:tcPr>
            <w:tcW w:type="dxa" w:w="2880"/>
          </w:tcPr>
          <w:p>
            <w:r>
              <w:t>2.035156%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1e-05</w:t>
            </w:r>
          </w:p>
        </w:tc>
        <w:tc>
          <w:tcPr>
            <w:tcW w:type="dxa" w:w="2880"/>
          </w:tcPr>
          <w:p>
            <w:r>
              <w:t>1.479970%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</w:tbl>
    <w:p>
      <w:r>
        <w:t>末两级默认参数点位移变化：0.161661%。</w:t>
      </w:r>
    </w:p>
    <w:p>
      <w:r>
        <w:t>保留的 24×24 参数检查：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drilling factor</w:t>
            </w:r>
          </w:p>
        </w:tc>
        <w:tc>
          <w:tcPr>
            <w:tcW w:type="dxa" w:w="2880"/>
          </w:tcPr>
          <w:p>
            <w:r>
              <w:t>位移误差</w:t>
            </w:r>
          </w:p>
        </w:tc>
        <w:tc>
          <w:tcPr>
            <w:tcW w:type="dxa" w:w="2880"/>
          </w:tcPr>
          <w:p>
            <w:r>
              <w:t>验收</w:t>
            </w:r>
          </w:p>
        </w:tc>
      </w:tr>
      <w:tr>
        <w:tc>
          <w:tcPr>
            <w:tcW w:type="dxa" w:w="2880"/>
          </w:tcPr>
          <w:p>
            <w:r>
              <w:t>1e-07</w:t>
            </w:r>
          </w:p>
        </w:tc>
        <w:tc>
          <w:tcPr>
            <w:tcW w:type="dxa" w:w="2880"/>
          </w:tcPr>
          <w:p>
            <w:r>
              <w:t>4.005104%</w:t>
            </w:r>
          </w:p>
        </w:tc>
        <w:tc>
          <w:tcPr>
            <w:tcW w:type="dxa" w:w="2880"/>
          </w:tcPr>
          <w:p>
            <w:r>
              <w:t>未通过</w:t>
            </w:r>
          </w:p>
        </w:tc>
      </w:tr>
      <w:tr>
        <w:tc>
          <w:tcPr>
            <w:tcW w:type="dxa" w:w="2880"/>
          </w:tcPr>
          <w:p>
            <w:r>
              <w:t>1e-06</w:t>
            </w:r>
          </w:p>
        </w:tc>
        <w:tc>
          <w:tcPr>
            <w:tcW w:type="dxa" w:w="2880"/>
          </w:tcPr>
          <w:p>
            <w:r>
              <w:t>2.472504%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1e-05</w:t>
            </w:r>
          </w:p>
        </w:tc>
        <w:tc>
          <w:tcPr>
            <w:tcW w:type="dxa" w:w="2880"/>
          </w:tcPr>
          <w:p>
            <w:r>
              <w:t>1.494037%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</w:tbl>
    <w:p>
      <w:r>
        <w:t>40×40 的全部参数通过不消除上述粗网格失败记录。</w:t>
      </w:r>
    </w:p>
    <w:p>
      <w:pPr>
        <w:pStyle w:val="Heading2"/>
      </w:pPr>
      <w:r>
        <w:t>场结果</w:t>
      </w:r>
    </w:p>
    <w:p>
      <w:r>
        <w:drawing>
          <wp:inline xmlns:a="http://schemas.openxmlformats.org/drawingml/2006/main" xmlns:pic="http://schemas.openxmlformats.org/drawingml/2006/picture">
            <wp:extent cx="5669280" cy="48593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plac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59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半球四分之一模型真实节点位移幅值，benchmark length。</w:t>
      </w:r>
    </w:p>
    <w:p>
      <w:r>
        <w:drawing>
          <wp:inline xmlns:a="http://schemas.openxmlformats.org/drawingml/2006/main" xmlns:pic="http://schemas.openxmlformats.org/drawingml/2006/picture">
            <wp:extent cx="5669280" cy="48593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n_mi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59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局部外表面中心弯膜组合 von Mises，benchmark force/length²；应力精度未认证。</w:t>
      </w:r>
    </w:p>
    <w:p>
      <w:r>
        <w:drawing>
          <wp:inline xmlns:a="http://schemas.openxmlformats.org/drawingml/2006/main" xmlns:pic="http://schemas.openxmlformats.org/drawingml/2006/picture">
            <wp:extent cx="5669280" cy="32395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verg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9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全部网格级别的误差曲线；红线为 3% 门槛。</w:t>
      </w:r>
    </w:p>
    <w:p>
      <w:pPr>
        <w:pStyle w:val="Heading2"/>
      </w:pPr>
      <w:r>
        <w:t>结论与可复现证据</w:t>
      </w:r>
    </w:p>
    <w:p>
      <w:r>
        <w:t>当前状态：response-qualified。验收严格遵循上文范围。</w:t>
      </w:r>
    </w:p>
    <w:p>
      <w:r>
        <w:t>原始 JSON 包含全部节点、连接、位移及恢复应力，可重新计算误差；平滑绘图仅用于显示，不用于改变验收值。</w:t>
        <w:br/>
        <w:t>原始 FE 数据</w:t>
      </w:r>
    </w:p>
    <w:p>
      <w:r>
        <w:t>运行：OMP_NUM_THREADS=1 MKL_NUM_THREADS=1 PYTHONPATH=src .venv/bin/python scripts/rebuild_additional_benchmarks.py。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  <w:rFonts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rFonts w:eastAsia="SimSu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rFonts w:eastAsia="SimSu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rFonts w:eastAsia="SimSu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rFonts w:eastAsia="SimSun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