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三维厚球壳内压：HEX8 与 Lamé 精确解</w:t>
      </w:r>
    </w:p>
    <w:p>
      <w:pPr>
        <w:pStyle w:val="Heading2"/>
      </w:pPr>
      <w:r>
        <w:t>模型与求解</w:t>
      </w:r>
    </w:p>
    <w:p>
      <w:r>
        <w:t>内外半径 8/10 m，E=210 GPa，ν=0.3，内压 1 MPa，外压为零。完整球体使用 HEX8；三个坐标轴处的六个切向约束只消除刚体运动，径向膨胀自由。内压在离散内表面一致积分。</w:t>
      </w:r>
    </w:p>
    <w:p>
      <w:pPr>
        <w:pStyle w:val="Heading2"/>
      </w:pPr>
      <w:r>
        <w:t>独立参考与验收范围</w:t>
      </w:r>
    </w:p>
    <w:p>
      <w:r>
        <w:t>独立精确解：A=p a³/(b³−a³)，B=p a³b³/(b³−a³)；σr=A−B/r³，σt=A+B/(2r³)，ur=[(1−2ν)Ar+(1+ν)B/(2r²)]/E。由球对称平衡 dσr/dr+2(σr−σt)/r=0 及内外表面 σr(a)=−p、σr(b)=0 得到；结合三维 Hooke 定律确定位移。参考解不参与装配与载荷。</w:t>
      </w:r>
    </w:p>
    <w:p>
      <w:r>
        <w:t>位移向量全节点 L2/最大相对误差、中心应力张量/径向/环向/von Mises 的体积加权 L2，径向最大绝对误差除以内压。最后一项避免外表面零应力造成相对误差奇异。全部声明误差须低于 3%。原有范数指标在全部网格级别下降；所有指标（含逐点最大误差）须在预定 20/32/40/64 细化段下降。8/12 粗网格的环向逐点最大误差非单调，记录保留；粗网格失败保留。应力取单元中心，没有边界峰值外推。 逐点检查：径向应力最大相对误差 2.979011%；通过每个径向应力采样点小于 3% 的门槛。当前验收同时检查全节点位移，以及全部单元中心应力张量、径向、环向和 von Mises 的逐点最大相对误差；粗网格超标记录保留。</w:t>
      </w:r>
    </w:p>
    <w:p>
      <w:pPr>
        <w:pStyle w:val="Heading2"/>
      </w:pPr>
      <w:r>
        <w:t>网格收敛结果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网格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3.909015%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5.741382%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3.544552%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20.245010%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23.546869%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4.228826%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0.952984%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5.417955%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0.845141%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4.606789%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10.713864%</w:t>
            </w:r>
          </w:p>
        </w:tc>
      </w:tr>
      <w:tr>
        <w:tc>
          <w:tcPr>
            <w:tcW w:type="dxa" w:w="2880"/>
          </w:tcPr>
          <w:p>
            <w:r>
              <w:t>8×8×1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1.324681%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2.261922%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1.462434%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6.877598%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17.515657%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2.054036%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1.672291%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2.669418%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0.634036%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1.875641%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5.104749%</w:t>
            </w:r>
          </w:p>
        </w:tc>
      </w:tr>
      <w:tr>
        <w:tc>
          <w:tcPr>
            <w:tcW w:type="dxa" w:w="2880"/>
          </w:tcPr>
          <w:p>
            <w:r>
              <w:t>12×12×2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0.427341%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0.790669%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0.511502%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2.233094%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12.257342%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0.947328%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0.912603%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1.105005%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0.257437%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0.647632%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1.935864%</w:t>
            </w:r>
          </w:p>
        </w:tc>
      </w:tr>
      <w:tr>
        <w:tc>
          <w:tcPr>
            <w:tcW w:type="dxa" w:w="2880"/>
          </w:tcPr>
          <w:p>
            <w:r>
              <w:t>20×20×4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0.272445%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0.438200%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0.251912%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1.221159%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6.292870%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0.425529%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0.391152%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0.520131%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0.091163%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0.309331%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0.998360%</w:t>
            </w:r>
          </w:p>
        </w:tc>
      </w:tr>
      <w:tr>
        <w:tc>
          <w:tcPr>
            <w:tcW w:type="dxa" w:w="2880"/>
          </w:tcPr>
          <w:p>
            <w:r>
              <w:t>32×32×4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0.241126%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0.355091%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0.196053%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0.986745%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4.806158%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0.297139%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0.261228%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0.377508%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0.057219%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0.231227%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0.779927%</w:t>
            </w:r>
          </w:p>
        </w:tc>
      </w:tr>
      <w:tr>
        <w:tc>
          <w:tcPr>
            <w:tcW w:type="dxa" w:w="2880"/>
          </w:tcPr>
          <w:p>
            <w:r>
              <w:t>40×40×4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displacement_vector_l2</w:t>
            </w:r>
          </w:p>
        </w:tc>
        <w:tc>
          <w:tcPr>
            <w:tcW w:type="dxa" w:w="2880"/>
          </w:tcPr>
          <w:p>
            <w:r>
              <w:t>0.104625%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displacement_max_relative</w:t>
            </w:r>
          </w:p>
        </w:tc>
        <w:tc>
          <w:tcPr>
            <w:tcW w:type="dxa" w:w="2880"/>
          </w:tcPr>
          <w:p>
            <w:r>
              <w:t>0.152505%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stress_tensor_volume_l2</w:t>
            </w:r>
          </w:p>
        </w:tc>
        <w:tc>
          <w:tcPr>
            <w:tcW w:type="dxa" w:w="2880"/>
          </w:tcPr>
          <w:p>
            <w:r>
              <w:t>0.082488%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radial_stress_volume_l2</w:t>
            </w:r>
          </w:p>
        </w:tc>
        <w:tc>
          <w:tcPr>
            <w:tcW w:type="dxa" w:w="2880"/>
          </w:tcPr>
          <w:p>
            <w:r>
              <w:t>0.415483%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radial_stress_pointwise_max</w:t>
            </w:r>
          </w:p>
        </w:tc>
        <w:tc>
          <w:tcPr>
            <w:tcW w:type="dxa" w:w="2880"/>
          </w:tcPr>
          <w:p>
            <w:r>
              <w:t>2.979011%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stress_tensor_pointwise_max</w:t>
            </w:r>
          </w:p>
        </w:tc>
        <w:tc>
          <w:tcPr>
            <w:tcW w:type="dxa" w:w="2880"/>
          </w:tcPr>
          <w:p>
            <w:r>
              <w:t>0.157272%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hoop_stress_pointwise_max</w:t>
            </w:r>
          </w:p>
        </w:tc>
        <w:tc>
          <w:tcPr>
            <w:tcW w:type="dxa" w:w="2880"/>
          </w:tcPr>
          <w:p>
            <w:r>
              <w:t>0.125486%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von_mises_pointwise_max</w:t>
            </w:r>
          </w:p>
        </w:tc>
        <w:tc>
          <w:tcPr>
            <w:tcW w:type="dxa" w:w="2880"/>
          </w:tcPr>
          <w:p>
            <w:r>
              <w:t>0.171411%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hoop_stress_volume_l2</w:t>
            </w:r>
          </w:p>
        </w:tc>
        <w:tc>
          <w:tcPr>
            <w:tcW w:type="dxa" w:w="2880"/>
          </w:tcPr>
          <w:p>
            <w:r>
              <w:t>0.023233%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von_mises_volume_l2</w:t>
            </w:r>
          </w:p>
        </w:tc>
        <w:tc>
          <w:tcPr>
            <w:tcW w:type="dxa" w:w="2880"/>
          </w:tcPr>
          <w:p>
            <w:r>
              <w:t>0.095565%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radial_stress_max_over_pressure</w:t>
            </w:r>
          </w:p>
        </w:tc>
        <w:tc>
          <w:tcPr>
            <w:tcW w:type="dxa" w:w="2880"/>
          </w:tcPr>
          <w:p>
            <w:r>
              <w:t>0.341260%</w:t>
            </w:r>
          </w:p>
        </w:tc>
      </w:tr>
      <w:tr>
        <w:tc>
          <w:tcPr>
            <w:tcW w:type="dxa" w:w="2880"/>
          </w:tcPr>
          <w:p>
            <w:r>
              <w:t>64×64×6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2"/>
      </w:pPr>
      <w:r>
        <w:t>求解与平衡复核</w:t>
      </w:r>
    </w:p>
    <w:p>
      <w:r>
        <w:t>最细模型：172046 个节点，147456 个单元；双精度实际 FE 位移恢复上述应力。</w:t>
      </w:r>
    </w:p>
    <w:p>
      <w:r>
        <w:t>Jacobi-PCG (CSR)：375 次迭代，自由残差 9.800e-12，规范约束反力 1.639e-15；载荷合力/合矩误差 5.656e-15/4.197e-15。平衡门槛 10⁻⁸。</w:t>
      </w:r>
    </w:p>
    <w:p>
      <w:pPr>
        <w:pStyle w:val="Heading2"/>
      </w:pPr>
      <w:r>
        <w:t>场结果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外表面位移幅值（m）；切去一侧以显示球面），原始 FE 节点值取面均值。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外层单元中心 von Mises（Pa），颜色对应最外径向层单元。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全部网格级别的误差曲线；红线为 3% 门槛。</w:t>
      </w:r>
    </w:p>
    <w:p>
      <w:pPr>
        <w:pStyle w:val="Heading2"/>
      </w:pPr>
      <w:r>
        <w:t>结论与可复现证据</w:t>
      </w:r>
    </w:p>
    <w:p>
      <w:r>
        <w:t>当前状态：qualified。验收严格遵循上文范围。</w:t>
      </w:r>
    </w:p>
    <w:p>
      <w:r>
        <w:t>原始 JSON 包含全部节点、连接、位移及恢复应力，可重新计算误差；平滑绘图仅用于显示，不用于改变验收值。</w:t>
        <w:br/>
        <w:t>原始 FE 数据</w:t>
      </w:r>
    </w:p>
    <w:p>
      <w:r>
        <w:t>运行：OMP_NUM_THREADS=1 MKL_NUM_THREADS=1 PYTHONPATH=src .venv/bin/python scripts/rebuild_additional_benchmarks.py。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