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3D 方腔流 Re=400（展向周期，D3Q19 MRT）</w:t>
      </w:r>
    </w:p>
    <w:p>
      <w:pPr>
        <w:jc w:val="center"/>
      </w:pPr>
      <w:r>
        <w:t>3D Spanwise-Periodic Lid-Driven Cavity at Re=400 (D3Q19 MRT)</w:t>
      </w:r>
    </w:p>
    <w:p>
      <w:r>
        <w:t>摘要 — TensorLBM D3Q19 MRT 三维求解链（collide_mrt3d / stream3d / zou_he_moving_lid_3d）在展向周期方腔 Re=400 上对 Ghia et al. (1982) 二维参考解的直接验证：两档网格 96×24 / 128×32 中线最大偏差 1.96% → 1.38% 单调收敛，展向均匀性 |uz|_max = 0.00046，入库 verified = True。</w:t>
      </w:r>
    </w:p>
    <w:p>
      <w:pPr>
        <w:pStyle w:val="Heading1"/>
      </w:pPr>
      <w:r>
        <w:t>1. Benchmark 介绍</w:t>
      </w:r>
    </w:p>
    <w:p>
      <w:r>
        <w:t>本案例是 2D 方腔的 3D 求解链验证件：f 分布形状 (19, nz, ny, nx)，y 垂直（顶盖 y=ny-1 沿 +x 移动），x 水平，z 展向周期（stream3d 天然周期）。当流动在展向均匀时，3D 解应退化为 2D 基准——因此可用 Ghia (1982) 的 2D 表值直接验证整套 3D 算子（碰撞、流迁、边界）的正确性。</w:t>
      </w:r>
    </w:p>
    <w:p>
      <w:r>
        <w:t>案例 Re = 400，参考解 Ghia et al. (1982) 129×129 多重网格解（内置 GHIA_RE400），涡心参考 (0.5547, 0.6055)。展向等价性由两个档案量背书：ux 跨 z 标准差与 |uz|_max（见结果表），演示图的三个 z 层剖面也逐层重合。</w:t>
      </w:r>
    </w:p>
    <w:p>
      <w:r>
        <w:t>历史注记（入库 key_fix）：自推 D3Q19 Zou-He 顶盖公式的 z 对角对 17/18 颠倒曾是本案例最大陷阱——sum_cyp 误用未知方向 f18 代替已知方向 f17，每步向顶盖注入虚假展向动量（buggy 版 jz=+0.12，修复后精确为 0），曾致大偏差与质量漂移；现用库内置 zou_he_moving_lid_3d（含 z 对角对修复，单测精确守恒）后以两档网格收敛入库。</w:t>
      </w:r>
    </w:p>
    <w:p>
      <w:pPr>
        <w:pStyle w:val="Heading2"/>
      </w:pPr>
      <w:r>
        <w:t>物理与数学背景</w:t>
      </w:r>
    </w:p>
    <w:p>
      <w:r>
        <w:t>不可压 Navier–Stokes 方程的三维格子 Boltzmann 离散：D3Q19 格子、MRT（多弛豫时间）碰撞算子、拉格朗日流迁（z 展向周期）。</w:t>
      </w:r>
    </w:p>
    <w:p>
      <w:r>
        <w:rPr>
          <w:rFonts w:ascii="Consolas" w:hAnsi="Consolas"/>
          <w:sz w:val="19"/>
        </w:rPr>
        <w:t>Re = u_lid·H / ν（H = nx，y 向）</w:t>
      </w:r>
    </w:p>
    <w:p>
      <w:r>
        <w:rPr>
          <w:rFonts w:ascii="Consolas" w:hAnsi="Consolas"/>
          <w:sz w:val="19"/>
        </w:rPr>
        <w:t>τ = 3·u_lid·nx / Re + 0.5，格子黏度 ν = (τ−0.5)/3</w:t>
      </w:r>
    </w:p>
    <w:p>
      <w:r>
        <w:rPr>
          <w:rFonts w:ascii="Consolas" w:hAnsi="Consolas"/>
          <w:sz w:val="19"/>
        </w:rPr>
        <w:t>f 形状 (Q=19, nz, ny, nx)；macroscopic3d → ρ, ux, uy, uz</w:t>
      </w:r>
    </w:p>
    <w:p>
      <w:r>
        <w:rPr>
          <w:rFonts w:ascii="Consolas" w:hAnsi="Consolas"/>
          <w:sz w:val="19"/>
        </w:rPr>
        <w:t>p = ρ·c_s²，c_s² = 1/3（格子单位伪压力）</w:t>
      </w:r>
    </w:p>
    <w:p>
      <w:r>
        <w:t>参考解 — 展向均匀极限下退化为 2D 方腔：Ghia U., Ghia K.N., Shin C.T. (1982) 129×129 多重网格解中线表值；涡心参考 (0.5547, 0.6055)。</w:t>
      </w:r>
    </w:p>
    <w:p>
      <w:pPr>
        <w:pStyle w:val="Heading3"/>
      </w:pPr>
      <w:r>
        <w:t>参考文献</w:t>
      </w:r>
    </w:p>
    <w:p>
      <w:pPr>
        <w:pStyle w:val="ListBullet"/>
      </w:pPr>
      <w:r>
        <w:t>Ghia U., Ghia K.N., Shin C.T., High-Re solutions for incompressible flow using the Navier-Stokes equations and a multigrid method, J. Comput. Phys. 48 (1982) 387-411.</w:t>
      </w:r>
    </w:p>
    <w:p>
      <w:pPr>
        <w:pStyle w:val="Heading1"/>
      </w:pPr>
      <w:r>
        <w:t>2. 计算条件设置</w:t>
      </w:r>
    </w:p>
    <w:p>
      <w:r>
        <w:t>正式档计算条件取自入库 result.json 与侧车档案 case_*.json（程序化注入）。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顶盖雷诺数 Re = u_lid·H/ν（H=nx，y 向）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网格（正式档）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96×24 / 128×32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 形状 (19, nz, ny, nx)，nx=ny，z 展向周期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u_lid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顶盖速度（格子单位，沿 +x）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0.5432 / 0.5576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弛豫参数 τ = 3·u_lid·nx/Re + 0.5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步数（正式档）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两档同长，残差 5.6e-07 / 7.0e-07（内部最大速度变化）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碰撞核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D3Q19 MRT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tensorlbm.solver3d.collide_mrt3d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边界处理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V3-3D 配方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三静止壁 pre-streaming 半程反弹 + 顶盖 zou_he_moving_lid_3d；z 展向 stream3d 天然周期</w:t>
            </w:r>
          </w:p>
        </w:tc>
      </w:tr>
    </w:tbl>
    <w:p/>
    <w:p>
      <w:pPr>
        <w:pStyle w:val="Heading1"/>
      </w:pPr>
      <w:r>
        <w:t>3. 软件使用步骤</w:t>
      </w:r>
    </w:p>
    <w:p>
      <w:r>
        <w:t>环境 — Python ≥ 3.11；依赖 torch / numpy / matplotlib；仓库 src 可导入（pip install -e . 或 PYTHONPATH=&lt;repo&gt;/src）</w:t>
      </w:r>
    </w:p>
    <w:p>
      <w:r>
        <w:t>步骤 1：获取仓库并进入根目录</w:t>
      </w:r>
    </w:p>
    <w:p>
      <w:r>
        <w:rPr>
          <w:rFonts w:ascii="Consolas" w:hAnsi="Consolas"/>
          <w:color w:val="1F4E79"/>
          <w:sz w:val="19"/>
        </w:rPr>
        <w:t>git clone https://github.com/cxs503/TensorLBM.git &amp;&amp; cd TensorLBM</w:t>
      </w:r>
    </w:p>
    <w:p>
      <w:r>
        <w:t>步骤 2：安装/指向 tensorlbm 包</w:t>
      </w:r>
    </w:p>
    <w:p>
      <w:r>
        <w:rPr>
          <w:rFonts w:ascii="Consolas" w:hAnsi="Consolas"/>
          <w:color w:val="1F4E79"/>
          <w:sz w:val="19"/>
        </w:rPr>
        <w:t>pip install -e .   # 或 export PYTHONPATH=$PWD/src</w:t>
      </w:r>
    </w:p>
    <w:p>
      <w:r>
        <w:t>步骤 3：单档复现（96²×24 × 100k 步；GPU 可换 --device cuda:1）</w:t>
      </w:r>
    </w:p>
    <w:p>
      <w:r>
        <w:rPr>
          <w:rFonts w:ascii="Consolas" w:hAnsi="Consolas"/>
          <w:color w:val="1F4E79"/>
          <w:sz w:val="19"/>
        </w:rPr>
        <w:t>python benchmarks/verified/cavity/3d/run.py single 96 24 /tmp/cavity3d_96.json --device cpu --steps 100000</w:t>
      </w:r>
    </w:p>
    <w:p>
      <w:r>
        <w:t>步骤 4：正式两档扫描（96²×24 / 128²×32，写出 case_*.json 与 result.json）</w:t>
      </w:r>
    </w:p>
    <w:p>
      <w:r>
        <w:rPr>
          <w:rFonts w:ascii="Consolas" w:hAnsi="Consolas"/>
          <w:color w:val="1F4E79"/>
          <w:sz w:val="19"/>
        </w:rPr>
        <w:t>python benchmarks/verified/cavity/3d/run.py both /tmp/cavity3d_out --device96 cuda:1 --device128 cuda:2</w:t>
      </w:r>
    </w:p>
    <w:p>
      <w:pPr>
        <w:pStyle w:val="Heading2"/>
      </w:pPr>
      <w:r>
        <w:t>场量可视化演示脚本</w:t>
      </w:r>
    </w:p>
    <w:p>
      <w:r>
        <w:t>场量可视化演示：与正式档同一组库入口，粗网格/缩短步数（48×48×12 × 40000 步，CPU 约 1307 s，残差 8.0e-07，质量漂移 2.05；正式档为 96×24 / 128×32 × 100000 步），输出展向中间层与全场数据；判据数字一律取自入库扫描。</w:t>
      </w:r>
    </w:p>
    <w:p>
      <w:r>
        <w:rPr>
          <w:rFonts w:ascii="Consolas" w:hAnsi="Consolas"/>
          <w:sz w:val="19"/>
        </w:rPr>
        <w:t>python docs/benchmarks/demos/cavity_3d_demo.py --nx 48 --nz 12 --steps 40000 --out demo.npz</w:t>
      </w:r>
    </w:p>
    <w:p>
      <w:pPr>
        <w:pStyle w:val="Heading1"/>
      </w:pPr>
      <w:r>
        <w:t>4. 计算结果</w:t>
      </w:r>
    </w:p>
    <w:p>
      <w:r>
        <w:rPr>
          <w:b/>
        </w:rPr>
        <w:t>表 1 入库扫描结果（两档网格）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96×24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128×32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u(0.5, 0.5)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-0.12349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-0.12114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 中间层中心点（Ghia -0.11477）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主涡心 (x/H, y/H)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(0.5579, 0.6105)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(0.5512, 0.6063)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参考 Ghia (0.5547, 0.6055)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rmse_u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0.009070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0.006530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竖直中线 17 点表值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rmse_v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0.010650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0.007270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水平中线 17 点表值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max |偏差|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1.9615%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1.3817%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两中线全表点（判据量）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展向均匀性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ux 跨 z 标准差 = 0.0；|uz|_max = 0.00046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入库 result.json span_uniformity（3D→2D 等价性证据）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质量漂移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93.69（0.018%）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侧车档案 case_128x32.json</w:t>
            </w:r>
          </w:p>
        </w:tc>
      </w:tr>
    </w:tbl>
    <w:p/>
    <w:p>
      <w:r>
        <w:rPr>
          <w:i/>
        </w:rPr>
        <w:t>来源：benchmarks/verified/cavity/3d/result.json + 侧车档案 case_96x24.json / case_128x32.json（verified_date = 2026-08-19）。</w:t>
      </w:r>
    </w:p>
    <w:p>
      <w:r>
        <w:drawing>
          <wp:inline xmlns:a="http://schemas.openxmlformats.org/drawingml/2006/main" xmlns:pic="http://schemas.openxmlformats.org/drawingml/2006/picture">
            <wp:extent cx="5580000" cy="2333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fields_midpla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33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1 演示档（48²×12 × 40000 步，CPU）展向中间层 z=nz/2 场量：左=速度幅值与流线（主涡形态与 2D 方腔一致），右=压力场 p′ = (ρ−1)/3。3D 案例以中心剖面展示。</w:t>
      </w:r>
    </w:p>
    <w:p>
      <w:pPr>
        <w:pStyle w:val="Heading1"/>
      </w:pPr>
      <w:r>
        <w:t>5. 与文献 / 解析解的比较</w:t>
      </w:r>
    </w:p>
    <w:p>
      <w:r>
        <w:rPr>
          <w:b/>
        </w:rPr>
        <w:t>表 2 与 Ghia et al. (1982) 2D 参考解的比较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96×24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128×32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参考/说明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u(0.5, 0.5) 相对 Ghia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+7.60%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+5.55%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参考 -0.11477（Ghia 表值）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主涡心偏移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0.0059 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0.0036 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对 Ghia (0.5547, 0.6055)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max |偏差|（判据量）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1.9615%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1.3817%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单调下降 = True，≤3% 门内，入库 verified = True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580000" cy="3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n_uniform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2 展向均匀性（演示档 48×12）：z=0 / z=nz/2 / z=nz-1 三个展向层的竖直中线剖面重合（周期边界层与中间层一致），且贴合 Ghia 表点；文本框为入库档案 span_uniformity 数字。</w:t>
      </w:r>
    </w:p>
    <w:p>
      <w:r>
        <w:drawing>
          <wp:inline xmlns:a="http://schemas.openxmlformats.org/drawingml/2006/main" xmlns:pic="http://schemas.openxmlformats.org/drawingml/2006/picture">
            <wp:extent cx="5580000" cy="41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p_u_prof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3 竖直中线速度剖面 vs Ghia (1982)：实线=入库正式档 128×32（侧车档案全剖面数组），虚线=演示档，× / + 为两档入库 u(0.5,0.5) 锚点。</w:t>
      </w:r>
    </w:p>
    <w:p>
      <w:r>
        <w:drawing>
          <wp:inline xmlns:a="http://schemas.openxmlformats.org/drawingml/2006/main" xmlns:pic="http://schemas.openxmlformats.org/drawingml/2006/picture">
            <wp:extent cx="5580000" cy="41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p_v_prof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4 水平中线速度剖面 vs Ghia (1982)：实线=入库正式档 128×32，虚线=演示档（缩短步数）。</w:t>
      </w:r>
    </w:p>
    <w:p>
      <w:r>
        <w:drawing>
          <wp:inline xmlns:a="http://schemas.openxmlformats.org/drawingml/2006/main" xmlns:pic="http://schemas.openxmlformats.org/drawingml/2006/picture">
            <wp:extent cx="5580000" cy="223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converg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5 网格收敛（入库判据数字）：max|偏差| 1.96% → 1.38% 单调下降；rmse_u / rmse_v 同步收敛。</w:t>
      </w:r>
    </w:p>
    <w:p>
      <w:pPr>
        <w:pStyle w:val="ListBullet"/>
      </w:pPr>
      <w:r>
        <w:t>误差定义：z 中间层中线剖面 17 个表点的最大绝对偏差（无量纲速度单位）；验收标准 |err| ≤ 3% 且网格细化单调下降。</w:t>
      </w:r>
    </w:p>
    <w:p>
      <w:pPr>
        <w:pStyle w:val="ListBullet"/>
      </w:pPr>
      <w:r>
        <w:t>3D→2D 等价性：展向均匀性由 ux 跨 z 标准差与 |uz|_max 两个档案量直接背书（见结果表），非仅靠剖面拟合。</w:t>
      </w:r>
    </w:p>
    <w:p>
      <w:pPr>
        <w:pStyle w:val="ListBullet"/>
      </w:pPr>
      <w:r>
        <w:t>本案例为直接观测量对参考解（无任何模型修正或重标定），符合严格入库标准。</w:t>
      </w:r>
    </w:p>
    <w:p>
      <w:pPr>
        <w:pStyle w:val="Heading1"/>
      </w:pPr>
      <w:r>
        <w:t>6. 复现说明</w:t>
      </w:r>
    </w:p>
    <w:p>
      <w:r>
        <w:rPr>
          <w:rFonts w:ascii="Consolas" w:hAnsi="Consolas"/>
          <w:sz w:val="19"/>
        </w:rPr>
        <w:t>python benchmarks/verified/cavity/3d/run.py both /tmp/cavity3d_out --device96 cuda:1 --device128 cuda:2</w:t>
      </w:r>
    </w:p>
    <w:p>
      <w:r>
        <w:t>预期结果 — max |偏差| 1.9615% → 1.3817%（单调，≤3%）；u(0.5, 0.5) = -0.12349 / -0.12114（Ghia -0.11477）；主涡心偏移 ≤ 0.0059 H</w:t>
      </w:r>
    </w:p>
    <w:p>
      <w:r>
        <w:t>参考耗时 — GPU 实测 128²×32 档约 1510 s（侧车档案 elapsed_s，cuda:2）；演示档 CPU 实测 1307 s（48×12 × 40000 步）</w:t>
      </w:r>
    </w:p>
    <w:p>
      <w:r>
        <w:t>入库位置 — benchmarks/verified/cavity/3d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