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Schäfer–Turek 2D-1 圆柱绕流 Re=20：稳态层流基准</w:t>
      </w:r>
    </w:p>
    <w:p>
      <w:pPr>
        <w:jc w:val="center"/>
      </w:pPr>
      <w:r>
        <w:t>Cylinder Flow Re=20, Schaefer-Turek Benchmark 2D-1 (Steady)</w:t>
      </w:r>
    </w:p>
    <w:p>
      <w:r>
        <w:t>摘要 — TensorLBM D2Q9 MRT 求解器在 Schäfer–Turek 2D-1 基准（通道内圆柱 Re=20 稳态层流）上对 Nabh 1998 谱方法参考解的直接验证：Poiseuille 入口 + Zou–He 压力出口 + 半程反弹、无质量重整化，两档网格 D=40/80 时均 Cd 5.5484/5.4191（-0.56%/-2.87%，均 ≤3%），300k 步统计收敛到平台且三次复跑逐位一致（入库 verdict = verified）。</w:t>
      </w:r>
    </w:p>
    <w:p>
      <w:pPr>
        <w:pStyle w:val="Heading1"/>
      </w:pPr>
      <w:r>
        <w:t>1. Benchmark 介绍</w:t>
      </w:r>
    </w:p>
    <w:p>
      <w:r>
        <w:t>Schäfer–Turek 2D-1 是 FEATFLOW 社区最广泛使用的二维稳态钝体基准：矩形通道内置圆柱、抛物线入口、Re=20 层流定常。尾流出现一对对称的定常回流泡（无涡脱），阻力系数参考解取 Nabh (1998) 谱方法 Cd=5.57954——该基准同时检验入口剖面、压力出口、壁面/曲面反弹与力积分的整条工程链。</w:t>
      </w:r>
    </w:p>
    <w:p>
      <w:r>
        <w:t>本案例的工程要点是“干净的稳态统计”：碰撞链为 MRT + 固体格冻结 + 半程反弹，Zou–He 双端边界保证质量/动量守恒到三阶，Cd 在末 50k 步摆幅 &lt;0.02%（块均值单调趋稳）。一个重要历史教训（入库 renorm_note）：早期版本每 2000 步做全局质量重整化，反而激发 ~10k 步尺度的 Cd 慢振荡（±2-4%），制造出假网格依赖；Zou–He 双端配平后重整化必须去除。</w:t>
      </w:r>
    </w:p>
    <w:p>
      <w:r>
        <w:t>误差随网格细化由 -0.56% 增至 -2.87%——如实披露而非隐藏：阶梯圆的有效直径 （D_eff_axis=41/81 格，名义 40/80）与半程反弹的台阶角点在不同分辨率下引入不同偏置，两档均在 ±3% 验收带内且各自深度收敛；Cl 为二阶小量不作为判据（详见比较节注记）。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 碰撞算子、拉格朗日流迁；曲面与壁面用半程反弹（二阶精度）。</w:t>
      </w:r>
    </w:p>
    <w:p>
      <w:r>
        <w:rPr>
          <w:rFonts w:ascii="Consolas" w:hAnsi="Consolas"/>
          <w:sz w:val="19"/>
        </w:rPr>
        <w:t>Re = U_mean·D / ν = 20（U_mean 为入口剖面均值）</w:t>
      </w:r>
    </w:p>
    <w:p>
      <w:r>
        <w:rPr>
          <w:rFonts w:ascii="Consolas" w:hAnsi="Consolas"/>
          <w:sz w:val="19"/>
        </w:rPr>
        <w:t>入口剖面 u(y) = 6·U_mean·y(H−y)/H²（U_max = 1.5·U_mean）</w:t>
      </w:r>
    </w:p>
    <w:p>
      <w:r>
        <w:rPr>
          <w:rFonts w:ascii="Consolas" w:hAnsi="Consolas"/>
          <w:sz w:val="19"/>
        </w:rPr>
        <w:t>Cd = Fx / (0.5·ρ·U_mean²·D)（Ladd 动量交换，表面格求和）</w:t>
      </w:r>
    </w:p>
    <w:p>
      <w:r>
        <w:rPr>
          <w:rFonts w:ascii="Consolas" w:hAnsi="Consolas"/>
          <w:sz w:val="19"/>
        </w:rPr>
        <w:t>Cl = Fy / (0.5·ρ·U_mean²·D)（二阶小量，非判据量）</w:t>
      </w:r>
    </w:p>
    <w:p>
      <w:r>
        <w:rPr>
          <w:rFonts w:ascii="Consolas" w:hAnsi="Consolas"/>
          <w:sz w:val="19"/>
        </w:rPr>
        <w:t>ν = (τ−0.5)/3，τ=0.8 → ν=0.1（格子单位）</w:t>
      </w:r>
    </w:p>
    <w:p>
      <w:r>
        <w:t>参考解 — 参考解：Nabh 1998 谱方法，FeatFlow 官方（ST 2D-1 Re=20），Cd=5.57954、Cl=0.0106（谱方法高分辨率解，非实验）。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Schäfer M., Turek S. (1996), Benchmark computations of laminar flow around a cylinder, Notes Numer. Fluid Mech. 48, 547-566.</w:t>
      </w:r>
    </w:p>
    <w:p>
      <w:pPr>
        <w:pStyle w:val="ListBullet"/>
      </w:pPr>
      <w:r>
        <w:t>Nabh M. (1998), Ergebnis-Zusammenfassung, DFG-Benchmark 'Kanal umströmtes Hindernis', Univ. Heidelberg / FEATFLOW.</w:t>
      </w:r>
    </w:p>
    <w:p>
      <w:pPr>
        <w:pStyle w:val="ListBullet"/>
      </w:pPr>
      <w:r>
        <w:t>Zou Q., He X. (1997), On pressure and velocity boundary conditions for the lattice Boltzmann BGK model, Phys. Fluids 9, 1591-1598.</w:t>
      </w:r>
    </w:p>
    <w:p>
      <w:pPr>
        <w:pStyle w:val="Heading1"/>
      </w:pPr>
      <w:r>
        <w:t>2. 计算条件设置</w:t>
      </w:r>
    </w:p>
    <w:p>
      <w:r>
        <w:t>正式档计算条件取自入库 result.json 与 run.py（程序化注入，下同）。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基准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Schäfer–Turek 2D-1（Re=20 稳态层流）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FEATFLOW 官方基准几何，定常无涡脱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 / 几何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 m × 0.41 m 通道；圆柱心 (0.2, 0.2)、半径 0.05 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阻塞比 5%（通道高 0.41 / 直径 0.1）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Poiseuille 剖面（U_max = 1.5·U_mean），Zou–He 速度入口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boundaries.zou_he_inlet_velocity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Zou–He 压力出口（ρ=1）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boundaries.zou_he_outlet_pressure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壁面 / 圆柱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半程反弹（half-way bounce-back）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make_channel_wall_mask + bounce_back_cells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MRT，τ=0.8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ν=0.1（格子），U_mean=0.05 → Ma≈0.087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动量交换（表面格）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post-stream、pre-bounce-back 采样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质量重整化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历史教训：每 2000 步重整化曾激发 Cd 慢振荡（假网格依赖真凶）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D=40（880×164）；D=80（1760×328）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 半径 = D/2 格（阶梯圆），D_eff_axis = 41/81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300000（两档同）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时均窗 = 末 50k 步；统计收敛判据见下表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3：单档复现（D=40，300k 步；GPU 约 0.5 小时）</w:t>
      </w:r>
    </w:p>
    <w:p>
      <w:r>
        <w:rPr>
          <w:rFonts w:ascii="Consolas" w:hAnsi="Consolas"/>
          <w:color w:val="1F4E79"/>
          <w:sz w:val="19"/>
        </w:rPr>
        <w:t>python benchmarks/verified/cylinder/re20_st/run.py --D 40 --device cuda:0</w:t>
      </w:r>
    </w:p>
    <w:p>
      <w:r>
        <w:t>步骤 4：两档网格（D=40/80）分别运行，合并对照 result.json</w:t>
      </w:r>
    </w:p>
    <w:p>
      <w:r>
        <w:rPr>
          <w:rFonts w:ascii="Consolas" w:hAnsi="Consolas"/>
          <w:color w:val="1F4E79"/>
          <w:sz w:val="19"/>
        </w:rPr>
        <w:t>python benchmarks/verified/cylinder/re20_st/run.py --D 40 --device cuda:0 --out out_dir &amp;&amp; python benchmarks/verified/cylinder/re20_st/run.py --D 80 --device cuda:0 --out out_dir</w:t>
      </w:r>
    </w:p>
    <w:p>
      <w:pPr>
        <w:pStyle w:val="Heading2"/>
      </w:pPr>
      <w:r>
        <w:t>场量可视化演示脚本</w:t>
      </w:r>
    </w:p>
    <w:p>
      <w:r>
        <w:t>稳态场量演示：与正式档同一组库入口与步进链（Poiseuille Zou–He 入口、压力出口、半程反弹、表面 MEM、固体冻结），缩径 D=10（正式档 40/80）、τ=0.575 保持 U_mean=0.05 与正式档同格子马赫数（正式档 τ=0.8、ν=0.1 亦得 U_mean=0.05；D=10 若沿用 τ=0.8 则 u=0.2 超格子稳定限），20000 步 CPU 约 46 s，输出 |u|/涡量/p′ 场、中心线回流泡与尾流亏损剖面。演示档 Cd_demo=6.6377（+19.0%）系缩径阶梯粗档偏置，仅用于展示稳态结构；定量判据一律取入库扫描。</w:t>
      </w:r>
    </w:p>
    <w:p>
      <w:r>
        <w:rPr>
          <w:rFonts w:ascii="Consolas" w:hAnsi="Consolas"/>
          <w:sz w:val="19"/>
        </w:rPr>
        <w:t>python docs/benchmarks/demos/cylinder_re20_st_demo.py --D 10 --tau 0.575 --max-steps 20000 --out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入库扫描结果（300k 步，末 50k 步时均）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D=40（880×164）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D=80（1760×328）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Cd（时均）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5.5484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5.4191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5.57954（Nabh 1998 谱方法，FeatFlow 官方（ST 2D-1 Re=20））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-2.87%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判据量（|err| 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0.0106（见下方 Cl 注记：不收敛量如实记录）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统计收敛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末 50k 摆幅 0.0072%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末 50k 摆幅 0.0148%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末 20k vs 末 50k 差 &lt;0.003%（plateau_check 全文见 result.json）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固体 / 表面格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1257 / 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5025 / 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Ladd MEM 求和范围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壁钟（GPU）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1762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300k 步（cuda:1）</w:t>
            </w:r>
          </w:p>
        </w:tc>
      </w:tr>
    </w:tbl>
    <w:p/>
    <w:p>
      <w:r>
        <w:rPr>
          <w:i/>
        </w:rPr>
        <w:t>来源：benchmarks/verified/cylinder/re20_st/result.json（verdict = verified；plateau_check 全文存档）。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d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 Cd 历史：20000 步内达到统计平台（Cd_demo=6.6377）；红线为 Nabh 1998 参考5.57954。演示档偏高系缩径阶梯偏置，正式档 300k 步时均判据见表 1。</w:t>
      </w:r>
    </w:p>
    <w:p>
      <w:r>
        <w:drawing>
          <wp:inline xmlns:a="http://schemas.openxmlformats.org/drawingml/2006/main" xmlns:pic="http://schemas.openxmlformats.org/drawingml/2006/picture">
            <wp:extent cx="5580000" cy="3507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演示档（D=10，20000 步，CPU）稳态场量：上=速度幅值（驻点减速 + 对称尾流亏损），中=涡量 ω_z（上下对称的边界层分离对，正负号相反），下=压力 p′（驻点高压、圆柱背部低压）——Re=20 定常特征：无时间振荡。</w:t>
      </w:r>
    </w:p>
    <w:p>
      <w:r>
        <w:drawing>
          <wp:inline xmlns:a="http://schemas.openxmlformats.org/drawingml/2006/main" xmlns:pic="http://schemas.openxmlformats.org/drawingml/2006/picture">
            <wp:extent cx="5580000" cy="2130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w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演示档尾流结构：左=中心线 u(x,y=0.2)，绿色带为回流区 u&lt;0（定常回流泡（x∈[0.26, 0.34] m，长约 0.8D）），虚线为圆柱后缘；右=各流向站位速度剖面，近尾出现倒流、远尾逐步恢复（黑虚线为入口 Poiseuille 剖面）。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与谱方法参考的比较与验收（入库档）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入库判定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判据：两档 |err_cd| ≤3% 且各自统计收敛到平台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可复现性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三次独立 300k 步逐位一致（bit-exact）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跨设备（cuda:1/cuda:2）与跨会话复跑；Cd 全精度值三份相同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误差趋势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-0.56% → -2.87%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随细化增大但均在带内（阶梯圆有效直径偏置，如实披露不作修正）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 注记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实测 -0.0141/-0.0015 vs 参考 0.0106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升力为二阶小量，MEM 表面法向离散误差淹没 Cl；D 变化 Cl 也在变，不作修正、如实记录，不影响阻力判定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演示档口径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D=10、τ=0.575、20000 步 CPU 46 s：Cd_demo=6.6377（+19.0%）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缩径阶梯粗档所致；演示档仅取场量/尾流结构，定量判据以入库为准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网格收敛（入库判据数字）：Cd 5.5484→5.4191（参考 5.57954 红虚线），误差 -0.56% → -2.87% 均在 ±3% 验收带（绿色带）内；误差随细化增大如实披露。</w:t>
      </w:r>
    </w:p>
    <w:p>
      <w:pPr>
        <w:pStyle w:val="ListBullet"/>
      </w:pPr>
      <w:r>
        <w:t>误差定义：Cd 取末 50k 步（300k 步运行的后 1/6）时均；统计收敛判据 = 末 50k 步摆幅 &lt;0.02% 且末 20k vs 末 50k 差 &lt;0.003%，块均值单调趋稳（入库 plateau_check）。</w:t>
      </w:r>
    </w:p>
    <w:p>
      <w:pPr>
        <w:pStyle w:val="ListBullet"/>
      </w:pPr>
      <w:r>
        <w:t>Cl 处置：实测值与参考同量级（~1e-2）但符号相反且随网格变化——升力是二阶小量，MEM 表面法向的阶梯离散误差直接淹没它；本案例不作修正、如实记录，Cl 不参与验收。</w:t>
      </w:r>
    </w:p>
    <w:p>
      <w:pPr>
        <w:pStyle w:val="ListBullet"/>
      </w:pPr>
      <w:r>
        <w:t>方法论记录：①不使用质量重整化（Zou–He 双端配平后重整化反而激发Cd 慢振荡，是历史“假网格依赖”真凶）；②mask 半径取 D/2 格（半程反弹的阶梯圆约定）；③本案例为直接观测量对高保真参考（无修正无重标定），三次独立 300k 步复跑逐位一致。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benchmarks/verified/cylinder/re20_st/run.py --D 40 --device cuda:0</w:t>
      </w:r>
    </w:p>
    <w:p>
      <w:r>
        <w:t>预期结果 — D=40: Cd=5.5484（-0.56%）；D=80: Cd=5.4191（-2.87%）（均 ≤3%，300k 步逐位可复现）</w:t>
      </w:r>
    </w:p>
    <w:p>
      <w:r>
        <w:t>参考耗时 — GPU 单档 1762-889 s（300k 步）；CPU 需数小时/档</w:t>
      </w:r>
    </w:p>
    <w:p>
      <w:r>
        <w:t>入库位置 — benchmarks/verified/cylinder/re20_st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