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液滴毛细振荡：m=2 模态频率 vs Rayleigh 解析</w:t>
      </w:r>
    </w:p>
    <w:p>
      <w:pPr>
        <w:jc w:val="center"/>
      </w:pPr>
      <w:r>
        <w:t>Droplet Capillary Oscillation vs Rayleigh Frequency (SCMP, m=2 mode)</w:t>
      </w:r>
    </w:p>
    <w:p>
      <w:r>
        <w:t>摘要 — TensorLBM SC94 单组分伪势模型中，椭圆初始化液滴的 m=2 毛细振荡 RAW 阻尼频率 ω_d（界面伸缩量 RxRy(t) 的时域阻尼正弦 LSQ 拟合）对 Rayleigh 理论ω_th=√(6σ/((ρ_l+ρ_v)R³))（basis C：同半径静态液滴标定 σ_i 与带密度）的误差在R=128/160/224 三档为 -2.65% → -2.40% → -2.01%，全部 ≤3% 且严格单调收敛（入库 pass = True）。误差主体是阻尼振荡频率的固有拉低ω_d=√(ω₀²−γ²)，未做任何修正——RAW 误差本身即判据。</w:t>
      </w:r>
    </w:p>
    <w:p>
      <w:pPr>
        <w:pStyle w:val="Heading1"/>
      </w:pPr>
      <w:r>
        <w:t>1. Benchmark 介绍</w:t>
      </w:r>
    </w:p>
    <w:p>
      <w:r>
        <w:t>毛细振荡是界面流动的经典自由边界问题：受扰液滴在表面张力驱动下以一系列离散的Lamb 模态回复振荡，m=2（四极）模态是小振幅下最易激发的最低阶模态。Rayleigh (1879) 给出无粘理论频率 ω² = m(m²−1)σ/((ρ_l+ρ_v)R³)，m=2 时为 6σ/((ρ_l+ρ_v)R³)；粘性将频率拉低为阻尼振荡频率 ω_d = √(ω₀²−γ²)。</w:t>
      </w:r>
    </w:p>
    <w:p>
      <w:r>
        <w:t>本基准检验伪势多相模型的界面动力学闭合能力：动态振荡频率必须与同一模型的静态表面张力自洽——σ_i 与带密度取自同半径、同模型族的静态 Laplace 液滴（basis C），杜绝跨尺度混合常数造成的「凑准」。</w:t>
      </w:r>
    </w:p>
    <w:p>
      <w:r>
        <w:t>严格标准口径：判据是 RAW 观测阻尼频率 ω_d；把阻尼还原的 ω₀=√(ω_d²+γ²) 写入判据属于被禁止的修正。本案例 ω₀ 仅作为诊断列出现（其误差 −0.20% ~ −0.39% 佐证「模型本征频率 Rayleigh 正确、RAW 误差来自真实阻尼拉低」的物理归因）。</w:t>
      </w:r>
    </w:p>
    <w:p>
      <w:pPr>
        <w:pStyle w:val="Heading2"/>
      </w:pPr>
      <w:r>
        <w:t>物理与数学背景</w:t>
      </w:r>
    </w:p>
    <w:p>
      <w:r>
        <w:t>SC94 单组分伪势格子 Boltzmann：D2Q9 格子、BGK 碰撞、伪势力F = −G_eff·ψ(ρ)·Σᵢwᵢψ(ρ(x+cᵢ))cᵢ（ψ = 1 − e^(−ρ)，库后向 gather 符号约定下G=+5 等效标准 G_eff=−5），周期域拉氏流迁。</w:t>
      </w:r>
    </w:p>
    <w:p>
      <w:r>
        <w:rPr>
          <w:rFonts w:ascii="Consolas" w:hAnsi="Consolas"/>
          <w:sz w:val="19"/>
        </w:rPr>
        <w:t>Rayleigh 毛细频率（m=2）：ω_th = sqrt(6·σ_i / ((ρ_in+ρ_out)·R_eq³))</w:t>
      </w:r>
    </w:p>
    <w:p>
      <w:r>
        <w:rPr>
          <w:rFonts w:ascii="Consolas" w:hAnsi="Consolas"/>
          <w:sz w:val="19"/>
        </w:rPr>
        <w:t>阻尼正弦拟合模型：RxRy(t) = A·exp(−γt)·cos(ω_d·t + φ) + c</w:t>
      </w:r>
    </w:p>
    <w:p>
      <w:r>
        <w:rPr>
          <w:rFonts w:ascii="Consolas" w:hAnsi="Consolas"/>
          <w:sz w:val="19"/>
        </w:rPr>
        <w:t>阻尼拉低：ω_d = sqrt(ω₀² − γ²)（ω₀ 为模型本征频率，仅诊断）</w:t>
      </w:r>
    </w:p>
    <w:p>
      <w:r>
        <w:rPr>
          <w:rFonts w:ascii="Consolas" w:hAnsi="Consolas"/>
          <w:sz w:val="19"/>
        </w:rPr>
        <w:t>basis C 静态标定：σ_i(R) = Δp·R_eq（同半径静态 Laplace 液滴）</w:t>
      </w:r>
    </w:p>
    <w:p>
      <w:r>
        <w:t>参考解 — Rayleigh (1879) 线性毛细波理论；本案例采用 basis C（逐档 R 匹配静态标定）为主判据，basis A（遗留小 R 常数 σ=0.056112、ρ 1.957/0.1596）与 vacuum 形式为次要列。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Rayleigh, Lord (1879), On the capillary phenomena of jets, Proc. R. Soc. Lond. 29, 71-97.</w:t>
      </w:r>
    </w:p>
    <w:p>
      <w:pPr>
        <w:pStyle w:val="ListBullet"/>
      </w:pPr>
      <w:r>
        <w:t>Shan X., Chen H. (1993), Lattice Boltzmann model for simulating flows with multiple phases and components, Phys. Rev. E 47, 1815.</w:t>
      </w:r>
    </w:p>
    <w:p>
      <w:pPr>
        <w:pStyle w:val="ListBullet"/>
      </w:pPr>
      <w:r>
        <w:t>Miller W., Succi S., Mansutti D. (2003), Lattice Boltzmann model for anisotropic liquid droplet coalescence, Int. J. Mod. Phys. B 17, 179（LBM 液滴振荡先例）.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SCMP SC94 单组分伪势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ψ = 1 − e^(−ρ)，物理 G_eff = −5.0（库参数 G = +5.0，后向 gather 符号约定）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 / 流迁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BGK + 周期拉氏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tensorlbm.multiphase.collide_sc_single_component + solver.stream（零手写物理）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/ float32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弛豫时间 τ=1（ν=1/6），单精度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 / 初始界面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 = 4R 周期，椭圆 tanh 剖面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R(θ)=R₀(1+0.05·cos2θ)，界面宽度 W=4（m=2 模态，eps=0.05）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档位（正式档）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 = 128 / 160 / 224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每档 L = 512 / 640 / 896，演化 ≥5.6 个理论周期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主观测信号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RxRy(t) = R_x − R_y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亚格点中密度界面伸缩量（预注册主信号；σ_ω 与 r² 双最优）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主窗口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跳过 500 步 + 2.0 理论周期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预扫描不稳定图锁定：≥2.5p 在 R≥224 受慢拉伸失稳污染，1p 受初始瞬态偏置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理论参考（basis C）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ω_th = √(6σ_i/((ρ_in+ρ_out)·R_eq³))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σ_i(R)=Δp·R_eq 与带密度取自同半径同族静态 Laplace 液滴（主判据）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3：单档快速体验（R=128，CPU 约数十分钟；GPU 更快）</w:t>
      </w:r>
    </w:p>
    <w:p>
      <w:r>
        <w:rPr>
          <w:rFonts w:ascii="Consolas" w:hAnsi="Consolas"/>
          <w:color w:val="1F4E79"/>
          <w:sz w:val="19"/>
        </w:rPr>
        <w:t>python benchmarks/verified/droplet_oscillation/run.py --radii 128 --device cpu --out /tmp/droplet_R128</w:t>
      </w:r>
    </w:p>
    <w:p>
      <w:r>
        <w:t>步骤 4：正式三档扫描（静态标定 + 振荡 + 拟合 + 判定门），写出 result.json</w:t>
      </w:r>
    </w:p>
    <w:p>
      <w:r>
        <w:rPr>
          <w:rFonts w:ascii="Consolas" w:hAnsi="Consolas"/>
          <w:color w:val="1F4E79"/>
          <w:sz w:val="19"/>
        </w:rPr>
        <w:t>python benchmarks/verified/droplet_oscillation/run.py --radii 128,160,224 --device cuda:0 --out &lt;dir&gt;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场量可视化演示：与正式档同一组库入口，缩小半径 R=64（正式档 128/160/224）、约 2.3 个理论周期（256² 周期域 × 19075 步，CPU 约 417 s），输出界面伸缩时间序列 RxRy(t) 与相场快照序列；演示档理论线用 basis A 常数，判据数字一律取自入库扫描。</w:t>
      </w:r>
    </w:p>
    <w:p>
      <w:r>
        <w:rPr>
          <w:rFonts w:ascii="Consolas" w:hAnsi="Consolas"/>
          <w:sz w:val="19"/>
        </w:rPr>
        <w:t>python docs/benchmarks/demos/droplet_oscillation_demo.py --R 64 --periods 2.3 --out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入库扫描结果（三档半径）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R=128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R=160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R=224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ω_d（RAW 拟合）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2.677966e-04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1.921602e-04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1.165128e-04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阻尼振荡频率（1/步）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σ_ω/ω_d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拟合 1σ（门 &lt;1%）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γ（阻尼率）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5.797e-05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3.952e-05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2.244e-05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γ/ω_d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拉低效应强度（∝R^(−1/2) 递减）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拟合 r²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0.99980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0.99979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0.99973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2.0p 主窗 RxRy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R_eq（窗口均值）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129.26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161.62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226.36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格点（初值 128/160/224）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T_theory（basis C）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22841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31911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52846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理论周期（步）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8.06e-04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1.07e-03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1.74e-03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门 &lt;2e-3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演化步数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228000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≥5.6 理论周期</w:t>
            </w:r>
          </w:p>
        </w:tc>
      </w:tr>
    </w:tbl>
    <w:p/>
    <w:p>
      <w:r>
        <w:rPr>
          <w:i/>
        </w:rPr>
        <w:t>来源：benchmarks/verified/droplet_oscillation/result.json（campaign：bm_widen Wave-2 W2-B strict standard (2026-09-20)）。</w:t>
      </w:r>
    </w:p>
    <w:p>
      <w:r>
        <w:drawing>
          <wp:inline xmlns:a="http://schemas.openxmlformats.org/drawingml/2006/main" xmlns:pic="http://schemas.openxmlformats.org/drawingml/2006/picture">
            <wp:extent cx="5580000" cy="337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xry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 RxRy(t)（R=64）与阻尼正弦 LSQ 拟合：拟合 ω_d=7.490e-04（对 basis A 理论 7.790e-04 偏差 -3.85%，r²=0.9998）。演示档半径小于正式档、γ/ω_d 更大，衰减更快；该数字仅示意测量管线形态，判据以入库三档为准。</w:t>
      </w:r>
    </w:p>
    <w:p>
      <w:r>
        <w:drawing>
          <wp:inline xmlns:a="http://schemas.openxmlformats.org/drawingml/2006/main" xmlns:pic="http://schemas.openxmlformats.org/drawingml/2006/picture">
            <wp:extent cx="5580000" cy="226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ba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basis C 的构造：左=同半径静态 Laplace 液滴标定的 σ_i(R)（0.05702 → 0.05715，随 R 缓升约 1.7%，为模型真实的曲率/压缩性趋势）；右=静态带密度 ρ_in/ρ_out。</w:t>
      </w:r>
    </w:p>
    <w:p>
      <w:r>
        <w:drawing>
          <wp:inline xmlns:a="http://schemas.openxmlformats.org/drawingml/2006/main" xmlns:pic="http://schemas.openxmlformats.org/drawingml/2006/picture">
            <wp:extent cx="558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演示档（R=64，256²，CPU）m=2 毛细振荡相场快照：白线为中密度界面 ρ≈1.06。液滴在椭圆（x 方向拉长）与反向椭圆之间往复振荡，振幅随时间衰减——表面张力驱动回复、伪势模型耗散提供阻尼。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Rayleigh 理论的比较（多基准并列）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R=128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R=160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R=224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ω_d 误差（basis C，主判据）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-2.649%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-2.404%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-2.005%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RAW 阻尼频率 vs Rayleigh；|err|≤3% 且随 R 严格下降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ω_d 误差（basis A）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-1.321%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-1.001%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-0.511%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遗留小 R 常数参考（次要列）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ω_d 误差（vacuum 形式）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-6.371%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-6.135%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-5.749%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只含 ρ_l 的真空形式（次要列）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ω₀ 诊断误差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-0.394%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-0.362%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-0.204%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ω₀=√(ω_d²+γ²)（禁止入判据的阻尼还原量，仅诊断）</w:t>
            </w:r>
          </w:p>
        </w:tc>
      </w:tr>
    </w:tbl>
    <w:p/>
    <w:p>
      <w:r>
        <w:rPr>
          <w:i/>
        </w:rPr>
        <w:t>汇总：全档 ≤3% = True；严格单调收敛 = True；拟合质量门 = True；总判 pass = True。</w:t>
      </w:r>
    </w:p>
    <w:p>
      <w:r>
        <w:drawing>
          <wp:inline xmlns:a="http://schemas.openxmlformats.org/drawingml/2006/main" xmlns:pic="http://schemas.openxmlformats.org/drawingml/2006/picture">
            <wp:extent cx="5580000" cy="377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omega_the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入库三档 RAW ω_d vs Rayleigh 理论（basis C）：红色标注为各档带符号误差，随 R 增大从 -2.65% 收敛到 -2.01%。</w:t>
      </w:r>
    </w:p>
    <w:p>
      <w:r>
        <w:drawing>
          <wp:inline xmlns:a="http://schemas.openxmlformats.org/drawingml/2006/main" xmlns:pic="http://schemas.openxmlformats.org/drawingml/2006/picture">
            <wp:extent cx="5580000" cy="356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误差收敛（对数纵轴）：主判据 basis C（RAW ω_d，蓝）严格单调下降；basis A（绿）与 vacuum（紫）为次要参考；红色 ω₀ 诊断列误差最小（−0.20% ~ −0.39%）但按预注册不得入判据。</w:t>
      </w:r>
    </w:p>
    <w:p>
      <w:r>
        <w:drawing>
          <wp:inline xmlns:a="http://schemas.openxmlformats.org/drawingml/2006/main" xmlns:pic="http://schemas.openxmlformats.org/drawingml/2006/picture">
            <wp:extent cx="5580000" cy="22635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ping_sca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6 阻尼标度：左=γ·R_eq² ≈ 1（三档入库 + 演示档同量级，粘性毛细弛豫时间的无量纲化）；右=γ/ω_d 随 R 增大而减小——RAW 误差的拉低效应随 R 衰减正是单调收敛的物理来源。</w:t>
      </w:r>
    </w:p>
    <w:p>
      <w:pPr>
        <w:pStyle w:val="ListBullet"/>
      </w:pPr>
      <w:r>
        <w:t>误差定义：(ω_d − ω_th)/ω_th × 100%，ω_th 取 basis C（R 匹配静态 σ_i 与带密度）；验收标准 |err| ≤ 3% 每档且随 R 严格下降、σ_ω/ω_d &lt; 1%、质量漂移 &lt; 2e-3。</w:t>
      </w:r>
    </w:p>
    <w:p>
      <w:pPr>
        <w:pStyle w:val="ListBullet"/>
      </w:pPr>
      <w:r>
        <w:t>严格标准注记：判据为 RAW 观测阻尼频率，无阻尼还原、无任何模型修正；ω₀=√(ω_d²+γ²) 仅作诊断列（预注册禁止其入判据）。</w:t>
      </w:r>
    </w:p>
    <w:p>
      <w:pPr>
        <w:pStyle w:val="ListBullet"/>
      </w:pPr>
      <w:r>
        <w:t>诚实披露：模型族存在慢拉伸失稳（e 折叠约 6 万步），限制可用窗口；R=320 无干净 ≥1.5p 窗口故不入档；float32 质量漂移约 7.7e-9/步，全部窗口远在干净区内（详见档案 NOTES.md）。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benchmarks/verified/droplet_oscillation/run.py --radii 128,160,224 --device cuda:0 --out &lt;dir&gt;</w:t>
      </w:r>
    </w:p>
    <w:p>
      <w:r>
        <w:t>预期结果 — err（basis C）= -2.649% → -2.404% → -2.005%（|err|≤3% 且严格单调）；σ_ω/ω_d ≤ 0.166%；pass = True</w:t>
      </w:r>
    </w:p>
    <w:p>
      <w:r>
        <w:t>参考耗时 — 入库档 GPU（RTX 5090）三档合计约 10 分钟（含静态标定；每档步数 99000/138000/228000）</w:t>
      </w:r>
    </w:p>
    <w:p>
      <w:r>
        <w:t>入库位置 — benchmarks/verified/droplet_oscillation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