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Kovasznay 二维稳态层流（解析 Navier–Stokes 解）</w:t>
      </w:r>
    </w:p>
    <w:p>
      <w:pPr>
        <w:jc w:val="center"/>
      </w:pPr>
      <w:r>
        <w:t>Kovasznay 2D Steady Flow (Analytic Navier-Stokes Solution)</w:t>
      </w:r>
    </w:p>
    <w:p>
      <w:r>
        <w:t>摘要 — TensorLBM D2Q9 BGK 求解器在 Kovasznay (1948) 二维稳态不可压 Navier–Stokes 精确解上的直接验证：Re=40、λ=-0.963741，主配置（x′∈[0,3] 零梯度出口）三档网格 ny=32/64/128 全场 u/v L2 与掩模最大相对误差均 ≤3%（最大 2.7113%），且 64→128 四项指标单调下降（入库 verdict = PASS）。</w:t>
      </w:r>
    </w:p>
    <w:p>
      <w:pPr>
        <w:pStyle w:val="Heading1"/>
      </w:pPr>
      <w:r>
        <w:t>1. Benchmark 介绍</w:t>
      </w:r>
    </w:p>
    <w:p>
      <w:r>
        <w:t>Kovasznay 流是二维稳态不可压 Navier–Stokes 方程的精确解：垂直于来流的周期性涡列沿流向指数衰减，模拟格栅尾迹的层流区。它是少数存在全场解析解的有旋流动，能同时检验求解器的对流、扩散与压力-速度耦合，是稳态求解器验证的标准算例（Kovasznay 1948）。</w:t>
      </w:r>
    </w:p>
    <w:p>
      <w:r>
        <w:t>本案例 Re = 40（特征速度 U0=0.03、特征长度 = y 向周期），衰减率 λ = -0.963741。注意一个常见陷阱：λ 必须由动量方程的特征根 λ = Re/2 − √(Re²/4+4π²) 精确给出（Re=40 → −0.9637）；文献中偶尔引用的 λ≈−0.5 对应 Re≈78.5，与本案例不符——入库档案对此有明确勘误记录。</w:t>
      </w:r>
    </w:p>
    <w:p>
      <w:r>
        <w:t>实现为零手写物理的库链：solver.collide_bgk + stream（周期 gather）+ boundaries.zou_he_inlet_velocity（解析 Dirichlet 入口）+ 内联零梯度出口（库无该函数，3 行内联，README 已登记为共性模块缺口）。初值取全场解析平衡态，主配置域长 3 个 y 周期——这是关键工程结论：零梯度出口会把出口附近 v 分量压平（短域 x′∈[0,1] 时全场 v 误差 ~96%），域长 3 个周期后出口扰动衰减至 e^{λ·3}≈0.056，全场误差回到 ≤3%。</w:t>
      </w:r>
    </w:p>
    <w:p>
      <w:pPr>
        <w:pStyle w:val="Heading2"/>
      </w:pPr>
      <w:r>
        <w:t>物理与数学背景</w:t>
      </w:r>
    </w:p>
    <w:p>
      <w:r>
        <w:t>二维稳态不可压 Navier–Stokes 方程的格子 Boltzmann 离散：D2Q9 格子、BGK 单弛豫碰撞、周期 gather 流迁（y 向周期内建）。</w:t>
      </w:r>
    </w:p>
    <w:p>
      <w:r>
        <w:rPr>
          <w:rFonts w:ascii="Consolas" w:hAnsi="Consolas"/>
          <w:sz w:val="19"/>
        </w:rPr>
        <w:t>u(x′,y′) = U0·(1 − e^{λx′}·cos 2πy′)</w:t>
      </w:r>
    </w:p>
    <w:p>
      <w:r>
        <w:rPr>
          <w:rFonts w:ascii="Consolas" w:hAnsi="Consolas"/>
          <w:sz w:val="19"/>
        </w:rPr>
        <w:t>v(x′,y′) = U0·(λ/2π)·e^{λx′}·sin 2πy′</w:t>
      </w:r>
    </w:p>
    <w:p>
      <w:r>
        <w:rPr>
          <w:rFonts w:ascii="Consolas" w:hAnsi="Consolas"/>
          <w:sz w:val="19"/>
        </w:rPr>
        <w:t>p(x′,y′) = 0.5·(1 − e^{2λx′})（ρU0² 归一）</w:t>
      </w:r>
    </w:p>
    <w:p>
      <w:r>
        <w:rPr>
          <w:rFonts w:ascii="Consolas" w:hAnsi="Consolas"/>
          <w:sz w:val="19"/>
        </w:rPr>
        <w:t>λ = Re/2 − √(Re²/4 + 4π²)（负根；Re=40 → −0.963741）</w:t>
      </w:r>
    </w:p>
    <w:p>
      <w:r>
        <w:rPr>
          <w:rFonts w:ascii="Consolas" w:hAnsi="Consolas"/>
          <w:sz w:val="19"/>
        </w:rPr>
        <w:t>ν = U0·ny/Re，τ = 0.5 + 3ν</w:t>
      </w:r>
    </w:p>
    <w:p>
      <w:r>
        <w:t>参考解 — Kovasznay L.I.G. (1948) 精确解；解析解已独立数值验证（max|N-S 残差| ≈ 1e-3 为差分截断，恒等式 λ=ν(λ²−4π²) 成立至 2e-15，见入库 result.json notes）。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Kovasznay L.I.G. (1948), Laminar flow behind a two-dimensional grid, Proc. Camb. Phil. Soc. 44, 58-62.</w:t>
      </w:r>
    </w:p>
    <w:p>
      <w:pPr>
        <w:pStyle w:val="ListBullet"/>
      </w:pPr>
      <w:r>
        <w:t>Zou Q., He X. (1997), On pressure and velocity boundary conditions for the lattice Boltzmann BGK model, Phys. Fluids 9, 1591-1598.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 = U0·L/ν，特征长度 L = y 向周期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λ（衰减率）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-0.963741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λ = Re/2 − √(Re²/4+4π²) = −0.963741（负根）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 ∈ [0, 2U0]，Ma_max = 2U0/cs ≈ 0.104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网格（主配置）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96×32 / 192×64 / 384×128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nx = 3·ny，x′∈[0,3]，y 向周期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0.572 / 0.644 / 0.788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ν = U0·ny/Re，τ = 0.5+3ν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步数（主配置）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稳态监测 ‖u(t)−u(t−2500)‖₂/‖u‖₂ &lt; 5e-5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碰撞核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tensorlbm.solver.collide_bgk / stream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边界处理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Zou/He 解析入口 + 零梯度出口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boundaries.zou_he_inlet_velocity；出口 f[:,:,-1]=f[:,:,-2]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3：单档快速复现（ny=64，CPU 约 1 分钟）</w:t>
      </w:r>
    </w:p>
    <w:p>
      <w:r>
        <w:rPr>
          <w:rFonts w:ascii="Consolas" w:hAnsi="Consolas"/>
          <w:color w:val="1F4E79"/>
          <w:sz w:val="19"/>
        </w:rPr>
        <w:t>python benchmarks/verified/kovasznay_2d/run.py single 64 case_ny64.json --xmax 3.0 --outlet zerograd --device cpu</w:t>
      </w:r>
    </w:p>
    <w:p>
      <w:r>
        <w:t>步骤 4：正式三档网格收敛扫描，写出判定 result.json</w:t>
      </w:r>
    </w:p>
    <w:p>
      <w:r>
        <w:rPr>
          <w:rFonts w:ascii="Consolas" w:hAnsi="Consolas"/>
          <w:color w:val="1F4E79"/>
          <w:sz w:val="19"/>
        </w:rPr>
        <w:t>python benchmarks/verified/kovasznay_2d/run.py scan out_dir --grids 32 64 128 --xmax 3.0 --outlet zerograd --min-steps 20000 --max-steps 60000 --device cpu</w:t>
      </w:r>
    </w:p>
    <w:p>
      <w:pPr>
        <w:pStyle w:val="Heading2"/>
      </w:pPr>
      <w:r>
        <w:t>场量可视化演示脚本</w:t>
      </w:r>
    </w:p>
    <w:p>
      <w:r>
        <w:t>场量可视化演示：与正式档同一组库入口与步进链，取 ny=64（= 正式验收扫描最粗档）、20000 步、末 100 步时均，CPU 约 70 s；输出 u/v 数值场与解析场对比。演示档 L2 （u 0.00165 / v 0.02711）与入库档 ny=64 行一致（差 &lt;1e-4，同一确定性链的复现性交叉验证）。</w:t>
      </w:r>
    </w:p>
    <w:p>
      <w:r>
        <w:rPr>
          <w:rFonts w:ascii="Consolas" w:hAnsi="Consolas"/>
          <w:sz w:val="19"/>
        </w:rPr>
        <w:t>python docs/benchmarks/demos/kovasznay_2d_demo.py --ny 64 --steps 20000 --out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入库扫描结果（主配置：x′∈[0,3] 零梯度出口）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ny=32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ny=64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ny=128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 L2 相对误差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全场 ‖·‖₂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 L2 相对误差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3.02%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2.71%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全场（主要残余源=出口区）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 掩模最大相对误差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|u_ana|&gt;0.1·U0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 掩模最大相对误差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|v_ana|&gt;0.1·max|v_ana|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质量漂移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-0.005%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-0.011%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Zou-He 入口+零梯度出口的慢泄漏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稳态达成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20000 步即稳（steady=True）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耗时（CPU）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108 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正式档</w:t>
            </w:r>
          </w:p>
        </w:tc>
      </w:tr>
    </w:tbl>
    <w:p/>
    <w:p>
      <w:r>
        <w:rPr>
          <w:i/>
        </w:rPr>
        <w:t>来源：benchmarks/verified/kovasznay_2d/result.json（primary_config）。</w:t>
      </w:r>
    </w:p>
    <w:p>
      <w:r>
        <w:drawing>
          <wp:inline xmlns:a="http://schemas.openxmlformats.org/drawingml/2006/main" xmlns:pic="http://schemas.openxmlformats.org/drawingml/2006/picture">
            <wp:extent cx="5580000" cy="2840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演示档（ny=64，20000 步，CPU）场量 vs 解析解：上=u/U0（入口 2U0 峰值衰减为 U0 平台、涡列沿 x′ 指数衰减），下=v/U0（正负交替的横向分量同步衰减）。数值列与解析列肉眼不可分。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与解析解的比较与验收（主配置）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验收判据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over {u,v L2 rel err, u/v masked max rel err} on ny=64/128 &lt;…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（result.json acceptance 全文）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最大误差（判据量）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ny=64: 2.7113% → ny=128: 2.5524%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= 2.7113% ≤ 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四指标单调下降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u_l2_decreases、v_l2_decreases、u_max_rel_decreases、v_max_rel_decreases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64→128 收敛（弱收敛：单调但斜率小）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主配置 verdict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入库判定 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演示档一致性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u_l2_demo=0.00165 / v_l2_demo=0.02711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与入库档 ny=64 行复现（差 &lt;1e-4：4.4e-09/1.6e-09）</w:t>
            </w:r>
          </w:p>
        </w:tc>
      </w:tr>
    </w:tbl>
    <w:p/>
    <w:p>
      <w:r>
        <w:rPr>
          <w:b/>
        </w:rPr>
        <w:t>表 3 交叉验证配置（双端解析 Dirichlet，方域 x′∈[0,1]）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ny=32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ny=64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ny=128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 L2 相对误差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双端解析 Dirichlet，方域 x′∈[0,1]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 L2 相对误差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随细化 ~2-8× 快速下降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 掩模最大相对误差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29.09%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5.59%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 零穿越度量伪影，L2 为准</w:t>
            </w:r>
          </w:p>
        </w:tc>
      </w:tr>
    </w:tbl>
    <w:p/>
    <w:p>
      <w:r>
        <w:rPr>
          <w:i/>
        </w:rPr>
        <w:t>文献标准做法，用于展示内部求解器本身的收敛性（无出口 BC 污染）；不作为验收配置（v 掩模最大相对误差为 sin 零穿越度量伪影，L2 指标为准）。</w:t>
      </w:r>
    </w:p>
    <w:p>
      <w:r>
        <w:drawing>
          <wp:inline xmlns:a="http://schemas.openxmlformats.org/drawingml/2006/main" xmlns:pic="http://schemas.openxmlformats.org/drawingml/2006/picture">
            <wp:extent cx="5580000" cy="2181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prof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剖面对比（演示档 ny=64）：左=u 沿 y′=0.5（2U0→U0 的指数衰减+余弦调制），右=v 沿 y′=0.25（|v| 最大线上数值与解析重合）。</w:t>
      </w:r>
    </w:p>
    <w:p>
      <w:r>
        <w:drawing>
          <wp:inline xmlns:a="http://schemas.openxmlformats.org/drawingml/2006/main" xmlns:pic="http://schemas.openxmlformats.org/drawingml/2006/picture">
            <wp:extent cx="5580000" cy="2496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绝对误差场（演示档 ny=64）：误差集中在出口最后 ~1 个 y 周期（零梯度 BC 影响区，v 被压平），内部区误差在 1%·U0 量级——与入库档案的误差源归因一致。</w:t>
      </w:r>
    </w:p>
    <w:p>
      <w:r>
        <w:drawing>
          <wp:inline xmlns:a="http://schemas.openxmlformats.org/drawingml/2006/main" xmlns:pic="http://schemas.openxmlformats.org/drawingml/2006/picture">
            <wp:extent cx="5580000" cy="21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网格收敛（入库判据数字）：主配置 v L2 2.71% → 2.55% （u L2 0.17% → 0.16%），掩模最大相对误差同步下降；虚线为交叉配置（双端 Dirichlet）的快速收敛对照。</w:t>
      </w:r>
    </w:p>
    <w:p>
      <w:pPr>
        <w:pStyle w:val="ListBullet"/>
      </w:pPr>
      <w:r>
        <w:t>误差定义：全场 L2 相对误差 ‖u_num−u_ana‖₂/‖u_ana‖₂ 与掩模最大点相对误差（阈值 0.1·幅值，避免除近零）；验收标准 max(四指标) ≤3% 且 64→128 单调下降。</w:t>
      </w:r>
    </w:p>
    <w:p>
      <w:pPr>
        <w:pStyle w:val="ListBullet"/>
      </w:pPr>
      <w:r>
        <w:t>残余误差两来源（均不随网格细化消失，故为弱收敛）：出口零梯度 BC 影响区（最后 ~0.5-1 个 y 周期，v 压平）与 BGK 的 O(Ma²) 压缩性误差（u L2 ≈0.16% 底噪）。</w:t>
      </w:r>
    </w:p>
    <w:p>
      <w:pPr>
        <w:pStyle w:val="ListBullet"/>
      </w:pPr>
      <w:r>
        <w:t>方法论记录：二阶外推出口（2f[n-2]−f[n-3]）会负概率发散不可用（gaps K3）；短域方域配置会把 v 杀到 ~96% 误差，域长 3 周期为经验最优；本案例为直接观测量对解析解（无修正无重标定）。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benchmarks/verified/kovasznay_2d/run.py scan out_dir --grids 32 64 128 --xmax 3.0 --outlet zerograd --min-steps 20000 --max-steps 60000 --device cpu</w:t>
      </w:r>
    </w:p>
    <w:p>
      <w:r>
        <w:t>预期结果 — u L2 0.17% → 0.16%；v L2 2.71% → 2.55%；最大误差 2.7113% → 2.5524%（≤3% 且四指标单调下降，PASS）</w:t>
      </w:r>
    </w:p>
    <w:p>
      <w:r>
        <w:t>参考耗时 — 约 151 s 合计（CPU；ny=128 档最慢）</w:t>
      </w:r>
    </w:p>
    <w:p>
      <w:r>
        <w:t>入库位置 — benchmarks/verified/kovasznay_2d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