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二维 Taylor–Green 涡：经典衰减基准</w:t>
      </w:r>
    </w:p>
    <w:p>
      <w:pPr>
        <w:jc w:val="center"/>
      </w:pPr>
      <w:r>
        <w:t>2D Taylor–Green Vortex — Classic Decay Benchmark</w:t>
      </w:r>
    </w:p>
    <w:p>
      <w:r>
        <w:t>摘要 — TensorLBM D2Q9 BGK 求解器对 2D Taylor–Green 涡的验证：它是不可压 NS 方程的精确解，涡旋结构保持不变、动能按 e^(−4νk²t) 指数衰减。入库主案例（N=128、Re=100）动能衰减率偏差 -0.0347%、速度衰减率偏差 -0.0007%、拟合 R²=0.999999617；另附 13 案稳健性扫描（N × Re × U0 × dtype）全部远低于 3% 门。</w:t>
      </w:r>
    </w:p>
    <w:p>
      <w:pPr>
        <w:pStyle w:val="Heading1"/>
      </w:pPr>
      <w:r>
        <w:t>1. Benchmark 介绍</w:t>
      </w:r>
    </w:p>
    <w:p>
      <w:r>
        <w:t>Taylor–Green 涡是 LBM 验证文献中最经典的衰减基准：周期域上四涡卷初始条件（ux=−U0·cos(kx)·sin(ky)，uy=+U0·sin(kx)·cos(ky)）。二维 TG 是不可压Navier–Stokes 方程的精确解——涡旋形状严格保持，速度按 e^(−2νk²t)、动能按e^(−4νk²t) 指数衰减，衰减率只由 ν 和 k=2π/N 决定，是标定 BGK 等效粘度的标准测试。</w:t>
      </w:r>
    </w:p>
    <w:p>
      <w:r>
        <w:t>它与本库另外两个耗散基准构成谱系：shear_wave_decay 是单 Fourier 模 (0,k)（|κ|²=k²，无非线性项）；2D TG 是交叉模 (±k,±k)（|κ|²=2k²，非线性项恰好被对称性抵消）；3D TG 则不再是精确解（涡拉伸登场，见 taylor_green_3d 教程）。三者覆盖了从纯线性到弱非线性的粘性耗散标定。</w:t>
      </w:r>
    </w:p>
    <w:p>
      <w:r>
        <w:t>本案例为直接观测量对解析解：u_max 与动能 E 由 macroscopic 每 100 步实测记录，衰减率用最小二乘拟合 ln E 与 ln u_max 的斜率，无任何模型修正或重标定。</w:t>
      </w:r>
    </w:p>
    <w:p>
      <w:pPr>
        <w:pStyle w:val="Heading2"/>
      </w:pPr>
      <w:r>
        <w:t>物理与数学背景</w:t>
      </w:r>
    </w:p>
    <w:p>
      <w:r>
        <w:t>不可压 Navier–Stokes 的 Taylor–Green 精确解的格子 Boltzmann 离散：D2Q9、BGK 碰撞、全周期流迁。</w:t>
      </w:r>
    </w:p>
    <w:p>
      <w:r>
        <w:rPr>
          <w:rFonts w:ascii="Consolas" w:hAnsi="Consolas"/>
          <w:sz w:val="19"/>
        </w:rPr>
        <w:t>ux = −U0·cos(kx)·sin(ky)·e^(−2νk²t)，uy = +U0·sin(kx)·cos(ky)·e^(−2νk²t)</w:t>
      </w:r>
    </w:p>
    <w:p>
      <w:r>
        <w:rPr>
          <w:rFonts w:ascii="Consolas" w:hAnsi="Consolas"/>
          <w:sz w:val="19"/>
        </w:rPr>
        <w:t>k = 2π/N；波矢 (±k,±k) ⇒ |κ|² = 2k²</w:t>
      </w:r>
    </w:p>
    <w:p>
      <w:r>
        <w:rPr>
          <w:rFonts w:ascii="Consolas" w:hAnsi="Consolas"/>
          <w:sz w:val="19"/>
        </w:rPr>
        <w:t>γ_vel = 2νk²（速度衰减率）；γ_E = 4νk²（动能衰减率）</w:t>
      </w:r>
    </w:p>
    <w:p>
      <w:r>
        <w:rPr>
          <w:rFonts w:ascii="Consolas" w:hAnsi="Consolas"/>
          <w:sz w:val="19"/>
        </w:rPr>
        <w:t>ν = (τ − 1/2)/3（格子单位）；Re = u0·N/ν</w:t>
      </w:r>
    </w:p>
    <w:p>
      <w:r>
        <w:t>参考解 — Taylor–Green 精确衰减解（不可压 NS 少数精确解之一）；LBM 粘性/衰减率标准验证（Krüger et al. validation 章节）。</w:t>
      </w:r>
    </w:p>
    <w:p>
      <w:pPr>
        <w:pStyle w:val="Heading3"/>
      </w:pPr>
      <w:r>
        <w:t>参考文献</w:t>
      </w:r>
    </w:p>
    <w:p>
      <w:pPr>
        <w:pStyle w:val="ListBullet"/>
      </w:pPr>
      <w:r>
        <w:t>Taylor G.I., Green A.E. (1937), Mechanism of the production of small eddies from large ones, Proc. R. Soc. A 158, 499.</w:t>
      </w:r>
    </w:p>
    <w:p>
      <w:pPr>
        <w:pStyle w:val="ListBullet"/>
      </w:pPr>
      <w:r>
        <w:t>Krüger A. et al., The Lattice Boltzmann Method, Springer (2017), validation: Taylor–Green vortex.</w:t>
      </w:r>
    </w:p>
    <w:p>
      <w:pPr>
        <w:pStyle w:val="Heading1"/>
      </w:pPr>
      <w:r>
        <w:t>2. 计算条件设置</w:t>
      </w:r>
    </w:p>
    <w:p>
      <w:r>
        <w:t>正式档计算条件取自入库 result.json（程序化注入，下同）。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取值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格子 / 碰撞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D2Q9 / BGK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tensorlbm.solver.collide_bgk + stream（周期 wrap，步序 stream→collide）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初始场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ux=−U0·cos(kx)·sin(ky)，uy=+U0·sin(kx)·cos(ky)，ρ=1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 = equilibrium(ρ, ux, uy)（feq 初值）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波数 / 粘度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k=2π/N=0.04909，ν=0.064（τ=0.692 ⇒ ν=(τ−1/2)/3）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波矢 (±k,±k)，|κ|²=2k²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雷诺数 / 幅值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Re=u0·N/ν=100，U0=0.05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Ma≈0.087，压缩性误差 O(Ma²)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步数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4900（auto：E/E0→e⁻³），每 100 步记录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入库档 N=128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精度 / 设备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float32 / cpu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入库档耗时 6.6s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验收门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|γ_sim/γ_theory − 1| ≤ 3%，指数性 R² ≥ 0.999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速度 2νk² + 动能 4νk² 双口径</w:t>
            </w:r>
          </w:p>
        </w:tc>
      </w:tr>
    </w:tbl>
    <w:p/>
    <w:p>
      <w:pPr>
        <w:pStyle w:val="Heading1"/>
      </w:pPr>
      <w:r>
        <w:t>3. 软件使用步骤</w:t>
      </w:r>
    </w:p>
    <w:p>
      <w:r>
        <w:t>环境 — Python ≥ 3.11；依赖 torch / numpy / matplotlib；仓库 src 可导入（pip install -e . 或 PYTHONPATH=&lt;repo&gt;/src）</w:t>
      </w:r>
    </w:p>
    <w:p>
      <w:r>
        <w:t>步骤 1：获取仓库并进入根目录</w:t>
      </w:r>
    </w:p>
    <w:p>
      <w:r>
        <w:rPr>
          <w:rFonts w:ascii="Consolas" w:hAnsi="Consolas"/>
          <w:color w:val="1F4E79"/>
          <w:sz w:val="19"/>
        </w:rPr>
        <w:t>git clone https://github.com/cxs503/TensorLBM.git &amp;&amp; cd TensorLBM</w:t>
      </w:r>
    </w:p>
    <w:p>
      <w:r>
        <w:t>步骤 2：安装/指向 tensorlbm 包</w:t>
      </w:r>
    </w:p>
    <w:p>
      <w:r>
        <w:rPr>
          <w:rFonts w:ascii="Consolas" w:hAnsi="Consolas"/>
          <w:color w:val="1F4E79"/>
          <w:sz w:val="19"/>
        </w:rPr>
        <w:t>pip install -e .   # 或 export PYTHONPATH=$PWD/src</w:t>
      </w:r>
    </w:p>
    <w:p>
      <w:r>
        <w:t>步骤 3：单案例快速复现（N=64，CPU 秒级）</w:t>
      </w:r>
    </w:p>
    <w:p>
      <w:r>
        <w:rPr>
          <w:rFonts w:ascii="Consolas" w:hAnsi="Consolas"/>
          <w:color w:val="1F4E79"/>
          <w:sz w:val="19"/>
        </w:rPr>
        <w:t>python benchmarks/verified/taylor_green_2d/run.py --n 64 --re 100</w:t>
      </w:r>
    </w:p>
    <w:p>
      <w:r>
        <w:t>步骤 4：完整主案例（N=128、Re=100，默认即入库档），写出 result.json</w:t>
      </w:r>
    </w:p>
    <w:p>
      <w:r>
        <w:rPr>
          <w:rFonts w:ascii="Consolas" w:hAnsi="Consolas"/>
          <w:color w:val="1F4E79"/>
          <w:sz w:val="19"/>
        </w:rPr>
        <w:t>python benchmarks/verified/taylor_green_2d/run.py --device cpu</w:t>
      </w:r>
    </w:p>
    <w:p>
      <w:r>
        <w:t>步骤 5：稳健性扫描（N × Re × U0 × dtype 共 13 案），写出 scan_summary.json</w:t>
      </w:r>
    </w:p>
    <w:p>
      <w:r>
        <w:rPr>
          <w:rFonts w:ascii="Consolas" w:hAnsi="Consolas"/>
          <w:color w:val="1F4E79"/>
          <w:sz w:val="19"/>
        </w:rPr>
        <w:t>python benchmarks/verified/taylor_green_2d/run.py --scan</w:t>
      </w:r>
    </w:p>
    <w:p>
      <w:pPr>
        <w:pStyle w:val="Heading2"/>
      </w:pPr>
      <w:r>
        <w:t>场量可视化演示脚本</w:t>
      </w:r>
    </w:p>
    <w:p>
      <w:r>
        <w:t>非定常演化演示：N=64、Re=100（与入库扫描同族参数）CPU 真跑约 2.0 s（2450 步），输出三时刻 ux/uy 场快照、N/4 线切剖面与能量/峰值速度历史；判据数字一律取自入库扫描。</w:t>
      </w:r>
    </w:p>
    <w:p>
      <w:r>
        <w:rPr>
          <w:rFonts w:ascii="Consolas" w:hAnsi="Consolas"/>
          <w:sz w:val="19"/>
        </w:rPr>
        <w:t>python docs/benchmarks/demos/taylor_green_2d_demo.py --n 64 --re 100 --u0 0.05 --out demo.npz</w:t>
      </w:r>
    </w:p>
    <w:p>
      <w:pPr>
        <w:pStyle w:val="Heading1"/>
      </w:pPr>
      <w:r>
        <w:t>4. 计算结果</w:t>
      </w:r>
    </w:p>
    <w:p>
      <w:r>
        <w:rPr>
          <w:b/>
        </w:rPr>
        <w:t>表 1 入库主案例判据（N=128，Re=100）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案例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γ_E_sim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γ_E_theory=4νk²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err_E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γ_vel_sim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γ_vel_theory=2νk²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err_vel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N=128 Re=100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6.166361e-04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6.168503e-04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-0.0347%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3.084229e-04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3.084251e-04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-0.0007%</w:t>
            </w:r>
          </w:p>
        </w:tc>
      </w:tr>
    </w:tbl>
    <w:p/>
    <w:p>
      <w:r>
        <w:rPr>
          <w:i/>
        </w:rPr>
        <w:t>来源：benchmarks/verified/taylor_green_2d/result.json（R² = 0.999999617，门 3%）。</w:t>
      </w:r>
    </w:p>
    <w:p>
      <w:pPr>
        <w:pStyle w:val="Heading1"/>
      </w:pPr>
      <w:r>
        <w:t>5. 与文献 / 解析解的比较</w:t>
      </w:r>
    </w:p>
    <w:p>
      <w:r>
        <w:rPr>
          <w:b/>
        </w:rPr>
        <w:t>表 2 稳健性扫描全表（13 案，scan_summary.json）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U0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dtype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err_E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err_vel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R²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f32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-0.0361%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-0.0117%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0.9999997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f32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-0.0393%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-0.0192%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0.9999996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f32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-0.0399%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-0.0204%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0.9999996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96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f32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-0.0364%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-0.0009%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0.9999996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96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f32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-0.0391%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-0.0125%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0.9999996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96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f32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-0.0396%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-0.0118%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0.9999996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128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f32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-0.0347%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-0.0007%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0.9999996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128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f32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-0.0397%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-0.0008%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0.9999996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128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f32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-0.0408%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-0.0017%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0.9999996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f32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-0.1263%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+0.0467%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0.9999963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128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f32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-0.1232%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+0.0087%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0.9999955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128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f32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-0.1019%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-0.0867%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0.9999998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128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f64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-0.0349%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-0.0006%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0.9999996</w:t>
            </w:r>
          </w:p>
        </w:tc>
      </w:tr>
    </w:tbl>
    <w:p/>
    <w:p>
      <w:r>
        <w:rPr>
          <w:b/>
        </w:rPr>
        <w:t>表 3 交叉验证与守恒诊断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数值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半窗口斜率一致性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6.163949e-04 / 6.167298e-04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前后半窗拟合斜率一致 ⇒ 纯指数衰减，非拟合假象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初值实测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u_max0=0.048354078（理论 0.05）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E0=0.0005872（理论 U0²/4=0.0006250）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质量守恒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5.2e-05（相对漂移）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全周期域 + BGK 守恒碰撞，49 个采样点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稳健性扫描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13 案 err_E ∈ [-0.1263%, -0.0347%]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N/Re/U0/dtype 全扫（含 1 案 float64），|err| 最大 0.1263%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与剪切波基准互补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本案例 err 符号为负（γ_sim 略小）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shear_wave_decay 单模 (0,k) 为正：不同波矢模态的 BGK 离散修正方向不同，如实记录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580000" cy="3441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field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4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1 演示档（N=64）三时刻速度场：上排 ux/U0、下排 uy/U0。四涡卷结构随时间严格保持，仅颜色幅值指数衰减（色标固定 ±U0）。</w:t>
      </w:r>
    </w:p>
    <w:p>
      <w:r>
        <w:drawing>
          <wp:inline xmlns:a="http://schemas.openxmlformats.org/drawingml/2006/main" xmlns:pic="http://schemas.openxmlformats.org/drawingml/2006/picture">
            <wp:extent cx="5580000" cy="223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linec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2 演示档 N/4 线切剖面：左=y=N/4 的 ux(x) 对解析 −cos(kx)·e^(−2νk²t)（虚线）；右=x=N/4 的 uy(y) 对 +cos(ky)·e^(−2νk²t)。各时刻幅值与相位均与解析解重合。</w:t>
      </w:r>
    </w:p>
    <w:p>
      <w:r>
        <w:drawing>
          <wp:inline xmlns:a="http://schemas.openxmlformats.org/drawingml/2006/main" xmlns:pic="http://schemas.openxmlformats.org/drawingml/2006/picture">
            <wp:extent cx="5580000" cy="223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deca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3 演示档衰减率拟合：左=|u|max（拟合 6.1674e-04 对理论 6.1685e-04，偏差 -0.0184%）；右=动能 E（对 4νk²=1.2337e-03，偏差 -0.0349%）。</w:t>
      </w:r>
    </w:p>
    <w:p>
      <w:r>
        <w:drawing>
          <wp:inline xmlns:a="http://schemas.openxmlformats.org/drawingml/2006/main" xmlns:pic="http://schemas.openxmlformats.org/drawingml/2006/picture">
            <wp:extent cx="5580000" cy="223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ve_deca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4 入库档 N=128 衰减史（程序化读取 energy_history.csv）：左=动能（偏差 -0.0347%），右=|u|max（偏差 -0.0007%），黑虚线为解析指数律。</w:t>
      </w:r>
    </w:p>
    <w:p>
      <w:r>
        <w:drawing>
          <wp:inline xmlns:a="http://schemas.openxmlformats.org/drawingml/2006/main" xmlns:pic="http://schemas.openxmlformats.org/drawingml/2006/picture">
            <wp:extent cx="5580000" cy="35242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n_robustn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24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5 入库稳健性扫描 13 案的 err_E 分布（颜色=网格 N，方块=float64）：全部落在 ±0.1263% 内，远低于 3% 验收门（扫描覆盖 Re 数量级变化、U0 敏感性与双精度检查）。</w:t>
      </w:r>
    </w:p>
    <w:p>
      <w:pPr>
        <w:pStyle w:val="ListBullet"/>
      </w:pPr>
      <w:r>
        <w:t>误差定义：γ_sim/γ_theory − 1（速度 2νk² + 动能 4νk² 双口径），验收门 3% + 指数性 R² ≥ 0.999 + 前后半窗斜率一致。</w:t>
      </w:r>
    </w:p>
    <w:p>
      <w:pPr>
        <w:pStyle w:val="ListBullet"/>
      </w:pPr>
      <w:r>
        <w:t>测量协议：u_max 与 E 每 100 步由 macroscopic 实测记录，无任何外推/修正；float64 对照案用于排除 fp32 累加误差。</w:t>
      </w:r>
    </w:p>
    <w:p>
      <w:pPr>
        <w:pStyle w:val="ListBullet"/>
      </w:pPr>
      <w:r>
        <w:t>本案例为直接观测量对解析解（无模型修正/重标定），符合严格入库标准。</w:t>
      </w:r>
    </w:p>
    <w:p>
      <w:pPr>
        <w:pStyle w:val="Heading1"/>
      </w:pPr>
      <w:r>
        <w:t>6. 复现说明</w:t>
      </w:r>
    </w:p>
    <w:p>
      <w:r>
        <w:rPr>
          <w:rFonts w:ascii="Consolas" w:hAnsi="Consolas"/>
          <w:sz w:val="19"/>
        </w:rPr>
        <w:t>python benchmarks/verified/taylor_green_2d/run.py --device cpu</w:t>
      </w:r>
    </w:p>
    <w:p>
      <w:r>
        <w:t>预期结果 — err_E = -0.0347%，err_vel = -0.0007%，R² = 0.999999617（≤3% 门通过）</w:t>
      </w:r>
    </w:p>
    <w:p>
      <w:r>
        <w:t>参考耗时 — 约 7 s（入库档 cpu 实测）</w:t>
      </w:r>
    </w:p>
    <w:p>
      <w:r>
        <w:t>入库位置 — benchmarks/verified/taylor_green_2d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