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静态液滴 Young–Laplace 定律（表面张力标定）</w:t>
      </w:r>
    </w:p>
    <w:p>
      <w:pPr>
        <w:jc w:val="center"/>
      </w:pPr>
      <w:r>
        <w:t>Static Droplet Young-Laplace Law (SCMP Surface Tension)</w:t>
      </w:r>
    </w:p>
    <w:p>
      <w:r>
        <w:t>摘要 — 周期域中心一个 SC94 单组分伪势液滴弛豫到稳态后，液内外压差满足 Δp = σ/R（2D 圆柱）/ 2σ/R（3D 球）。三半径扫描（R = 15/25/40）下 2D 有效表面张力 σ_eff = 0.056112（逐半径偏差 ≤0.80%、R² = 1.0000000、截距占比 0.63%），3D σ_eff = 0.056170（≤1.11%、R² = 0.999982、截距占比 1.06%），两维相互一致 0.1%——Young–Laplace 线性在伪势模型中成立，全部门槛通过（verified = True）。</w:t>
      </w:r>
    </w:p>
    <w:p>
      <w:pPr>
        <w:pStyle w:val="Heading1"/>
      </w:pPr>
      <w:r>
        <w:t>1. Benchmark 介绍</w:t>
      </w:r>
    </w:p>
    <w:p>
      <w:r>
        <w:t>Young–Laplace 定律是表面张力的定义性检验：界面的曲率与两侧压差成正比，比例系数即表面张力 σ。对模拟多相流的任何方法，静态液滴的 Δp·R 常数性是界面物理自洽的最低门槛，也是为其它界面基准（液滴振荡、接触角等）标定 σ 的标准做法。</w:t>
      </w:r>
    </w:p>
    <w:p>
      <w:r>
        <w:t>本基准在 SC94 单组分伪势模型上做 2D（D2Q9 圆柱）与 3D（D3Q19 球）双维验证：Δp 由稳态密度场经 EOS p = ρ/3 + G_eff·ψ²/6 直接计算，无外推、无人工修正；半径取实测等效半径 R_eq，压力取远离弥散界面的环带均值。</w:t>
      </w:r>
    </w:p>
    <w:p>
      <w:r>
        <w:t>工程注记（库符号约定）：库的伪势力采用后向 gather ψ(x−c)，与标准 SC94 的前向 gather ψ(x+c) 恰好反号，因此库参数 G = +5 实现标准吸引耦合 G_eff = −5。这是自洽的库约定而非缺陷；曾尝试改前向 gather 在 G=±5 下均发散，已回退不改库（详见档案 README）。</w:t>
      </w:r>
    </w:p>
    <w:p>
      <w:pPr>
        <w:pStyle w:val="Heading2"/>
      </w:pPr>
      <w:r>
        <w:t>物理与数学背景</w:t>
      </w:r>
    </w:p>
    <w:p>
      <w:r>
        <w:t>SC94 单组分伪势格子 Boltzmann：D2Q9 / D3Q19 格子、BGK 碰撞、伪势力 F = −G_eff·ψ(ρ)·Σᵢwᵢψ(ρ(x+cᵢ))cᵢ，周期域拉氏流迁；非理想 EOS p = ρ/3 + G_eff·ψ²/6 产生液气相分离与表面张力。</w:t>
      </w:r>
    </w:p>
    <w:p>
      <w:r>
        <w:rPr>
          <w:rFonts w:ascii="Consolas" w:hAnsi="Consolas"/>
          <w:sz w:val="19"/>
        </w:rPr>
        <w:t>Young–Laplace：2D Δp = σ/R_eq（圆柱）；3D Δp = 2σ/R_eq（球）</w:t>
      </w:r>
    </w:p>
    <w:p>
      <w:r>
        <w:rPr>
          <w:rFonts w:ascii="Consolas" w:hAnsi="Consolas"/>
          <w:sz w:val="19"/>
        </w:rPr>
        <w:t>逐半径表面张力：σ_i = Δp·R_eq（2D）/ Δp·R_eq/2（3D）</w:t>
      </w:r>
    </w:p>
    <w:p>
      <w:r>
        <w:rPr>
          <w:rFonts w:ascii="Consolas" w:hAnsi="Consolas"/>
          <w:sz w:val="19"/>
        </w:rPr>
        <w:t>过原点拟合：σ_eff = Σ(Δp/R_eq) / Σ(1/R_eq²)（判据基准）</w:t>
      </w:r>
    </w:p>
    <w:p>
      <w:r>
        <w:rPr>
          <w:rFonts w:ascii="Consolas" w:hAnsi="Consolas"/>
          <w:sz w:val="19"/>
        </w:rPr>
        <w:t>自由截距线性拟合：Δp = a·(1/R_eq) + b（R² 与 |b|/(a/R_max) 入判据）</w:t>
      </w:r>
    </w:p>
    <w:p>
      <w:r>
        <w:t>参考解 — Young (1805) / Laplace (1806) 毛细静力学；判据为逐半径 σ 一致性 ≤3%、R² ≥ 0.999、截距占比 ≤3%。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Young T. (1805), An essay on the cohesion of fluids, Phil. Trans. R. Soc. 95, 65.</w:t>
      </w:r>
    </w:p>
    <w:p>
      <w:pPr>
        <w:pStyle w:val="ListBullet"/>
      </w:pPr>
      <w:r>
        <w:t>Shan X., Chen H. (1993), Lattice Boltzmann model for simulating flows with multiple phases and components, Phys. Rev. E 47, 1815.</w:t>
      </w:r>
    </w:p>
    <w:p>
      <w:pPr>
        <w:pStyle w:val="ListBullet"/>
      </w:pPr>
      <w:r>
        <w:t>Zhang R., Chen H. (2003), Lattice Boltzmann method for simulations of liquid-vapor thermal flows, Phys. Rev. E 67, 066711（伪势 σ 标定惯例）.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SCMP SC94 单组分伪势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ψ = 1 − e^(−ρ)，物理 G_eff = −5.0（库参数 G = +5.0，后向 gather 符号约定，非 bug）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 / 流迁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2D: collide_sc_single_component + stream（D2Q9）；3D: collide_sc_single_component_3d + stream3d（D3Q19）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tensorlbm.multiphase / multiphase3d / solver / solver3d（零手写物理）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 / float32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 = 1/6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半径（正式档）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 = 15 / 25 / 40 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 L = 4R 周期（60/100/160；3D 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tanh 液滴剖面 W=4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离散共存密度 ρ_l=1.957、ρ_v=0.1596（实测；连续 Maxwell 值仅对照）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EOS（测量用）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ρ/3 + G_eff·ψ²/6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标准约定 G_eff=−5.0，与所加伪势力自洽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稳态判据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Δp 相对漂移 &lt; 2e-4 且 R_eq 漂移 &lt; 2e-3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采样间隔 1000 步，min 6000 步；测量取末 3 采样均值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测量口径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0.5R_eq 内 / 1.5R_eq 外环带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避开弥散界面；R_eq 由中密度阈液核面积反推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3：2D 三半径扫描（CPU 约 1-2 分钟）</w:t>
      </w:r>
    </w:p>
    <w:p>
      <w:r>
        <w:rPr>
          <w:rFonts w:ascii="Consolas" w:hAnsi="Consolas"/>
          <w:color w:val="1F4E79"/>
          <w:sz w:val="19"/>
        </w:rPr>
        <w:t>python benchmarks/verified/laplace_droplet/run.py --dims 2 --device2d cpu --out /tmp/laplace_2d</w:t>
      </w:r>
    </w:p>
    <w:p>
      <w:r>
        <w:t>步骤 4：全量（含 3D 轨，GPU 约 10 分钟；无 GPU 时 3D 在 CPU 上慢约百倍）</w:t>
      </w:r>
    </w:p>
    <w:p>
      <w:r>
        <w:rPr>
          <w:rFonts w:ascii="Consolas" w:hAnsi="Consolas"/>
          <w:color w:val="1F4E79"/>
          <w:sz w:val="19"/>
        </w:rPr>
        <w:t>python benchmarks/verified/laplace_droplet/run.py --dims 2,3 --device3d cuda:0 --out &lt;dir&gt;</w:t>
      </w:r>
    </w:p>
    <w:p>
      <w:pPr>
        <w:pStyle w:val="Heading2"/>
      </w:pPr>
      <w:r>
        <w:t>场量可视化演示脚本</w:t>
      </w:r>
    </w:p>
    <w:p>
      <w:r>
        <w:t>2D 场量可视化演示：与正式档同一组库入口、同一协议（正式三半径 R=15/25/40、同一稳态判据），纯 CPU 复跑约 538 s；输出三半径 Δp(t) 收敛史与 R=40 终态密度/压力场。演示档数字即真实 2D 计算结果，与入库 2D 档可直接对照；3D 数字一律取自入库扫描。</w:t>
      </w:r>
    </w:p>
    <w:p>
      <w:r>
        <w:rPr>
          <w:rFonts w:ascii="Consolas" w:hAnsi="Consolas"/>
          <w:sz w:val="19"/>
        </w:rPr>
        <w:t>python docs/benchmarks/demos/laplace_droplet_demo.py --radii 15,25,40 --out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2D（D2Q9）逐半径结果：入库档 + 演示档复跑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R_eq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σ_i = Δp·R_eq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相对 σ_fit 偏差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0.003627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25.288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+0.22%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40.343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0.001402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+0.80%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演示档复跑（CPU，逐位）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0.003627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演示档复跑（CPU，逐位）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25.288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演示档复跑（CPU，逐位）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40.343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0.001402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0.80%</w:t>
            </w:r>
          </w:p>
        </w:tc>
      </w:tr>
    </w:tbl>
    <w:p/>
    <w:p>
      <w:r>
        <w:rPr>
          <w:i/>
        </w:rPr>
        <w:t>入库来源：benchmarks/verified/laplace_droplet/result.json（verified_date = 2026-08-18）。演示档为 CPU 复跑：三半径 R_eq/Δp/稳态步数与入库 2D 档逐位一致（bitwise，确定性复现），稳态触发 = True，步数 [6000, 9000, 17000]。偏差列口径同入库：|σ_i − σ_eff|/σ_eff。</w:t>
      </w:r>
    </w:p>
    <w:p>
      <w:r>
        <w:rPr>
          <w:b/>
        </w:rPr>
        <w:t>表 2 3D（D3Q19）逐半径结果（入库档，GPU）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R_eq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σ_i = Δp·R_eq/2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相对 σ_fit 偏差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0.007256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0.05596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+0.38%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25.249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0.004475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+0.58%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R_init=40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0.002822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+1.11%</w:t>
            </w:r>
          </w:p>
        </w:tc>
      </w:tr>
    </w:tbl>
    <w:p/>
    <w:p>
      <w:r>
        <w:rPr>
          <w:i/>
        </w:rPr>
        <w:t>入库 σ_eff(3D) = 0.056170，R² = 0.999982。</w:t>
      </w:r>
    </w:p>
    <w:p>
      <w:r>
        <w:drawing>
          <wp:inline xmlns:a="http://schemas.openxmlformats.org/drawingml/2006/main" xmlns:pic="http://schemas.openxmlformats.org/drawingml/2006/picture">
            <wp:extent cx="5580000" cy="2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p_t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演示档收敛史：左=Δp(t)（三半径均快速弛豫到稳定平台，半径越小压差越大——Laplace 律的直接视觉证据）；右=R_eq(t)（质量守恒下液滴自调平衡半径）。</w:t>
      </w:r>
    </w:p>
    <w:p>
      <w:r>
        <w:drawing>
          <wp:inline xmlns:a="http://schemas.openxmlformats.org/drawingml/2006/main" xmlns:pic="http://schemas.openxmlformats.org/drawingml/2006/picture">
            <wp:extent cx="5580000" cy="163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 R=40 终态：左=密度场（白线为中密度界面，液核 ρ≈1.945、气相 ρ≈0.1581）；中=中线密度剖面（tanh 弥散界面，宽约 4 格）；右=EOS 压力剖面（液内高压平台与气外低压之差即 Δp 的来源）。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3 与 Young–Laplace 定律的比较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入库档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演示档复跑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σ_eff（2D 过原点拟合）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0.056112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0.056112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2D: σ_i = Δp·R_eq；入库 vs 演示档复跑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σ_eff（3D 过原点拟合）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0.056170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3D: σ_i = Δp·R_eq/2（球）；入库档（GPU）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2D vs 3D σ_eff 相对差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D2Q9/D3Q19 各向异性在本参数下影响量级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自由截距线性拟合 R²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 截距占比 0.63%（门 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最大逐半径 σ 偏差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 ≤3%；3D 见表 3</w:t>
            </w:r>
          </w:p>
        </w:tc>
      </w:tr>
    </w:tbl>
    <w:p/>
    <w:p>
      <w:r>
        <w:rPr>
          <w:i/>
        </w:rPr>
        <w:t>判定门：逐半径 σ 偏差 ≤3%（2D max 0.80%、3D max 1.11%）、R² ≥ 0.999、截距占比 ≤3%（2D 0.63%、3D 1.06%）——全过。</w:t>
      </w:r>
    </w:p>
    <w:p>
      <w:r>
        <w:drawing>
          <wp:inline xmlns:a="http://schemas.openxmlformats.org/drawingml/2006/main" xmlns:pic="http://schemas.openxmlformats.org/drawingml/2006/picture">
            <wp:extent cx="5580000" cy="382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laplace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Young–Laplace 线性检验：Δp vs 1/R_eq（3D 已除以 2 归一到同一直线）。入库 2D 斜率（自由拟合）0.05565、3D 0.05540；演示档 2D 点（星标）落在入库直线上（σ_fit=0.05611，逐半径最大偏差 0.80%）。</w:t>
      </w:r>
    </w:p>
    <w:p>
      <w:r>
        <w:drawing>
          <wp:inline xmlns:a="http://schemas.openxmlformats.org/drawingml/2006/main" xmlns:pic="http://schemas.openxmlformats.org/drawingml/2006/picture">
            <wp:extent cx="5580000" cy="350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逐半径 σ 一致性：入库 2D/3D 六点全部远低于 3% 验收门（2D max 0.80%、3D max 1.11%），演示档 CPU 复跑（与入库 2D 档逐位一致）max dev 0.80%——σ 的 R 无关性（Laplace 线性）成立。</w:t>
      </w:r>
    </w:p>
    <w:p>
      <w:pPr>
        <w:pStyle w:val="ListBullet"/>
      </w:pPr>
      <w:r>
        <w:t>误差定义：σ_i 相对过原点拟合 σ_eff 的偏差；判据含 R² 与截距占比两条辅助门，全部针对「σ 是否与 R 无关」这一物理命题。</w:t>
      </w:r>
    </w:p>
    <w:p>
      <w:pPr>
        <w:pStyle w:val="ListBullet"/>
      </w:pPr>
      <w:r>
        <w:t>实测伪速度（SC 速度-平移格式的质量指标）max|u| ≈ 0.137-0.140，质量漂移 ≤ 2e-4（周期流步守恒）；这些是伪势模型的已知特性而非误差源。</w:t>
      </w:r>
    </w:p>
    <w:p>
      <w:pPr>
        <w:pStyle w:val="ListBullet"/>
      </w:pPr>
      <w:r>
        <w:t>离散共存密度（1.957/0.1596，密度比约 12:1）与连续 EOS Maxwell 构造值（1.7505/0.0493）不同属预期——格子离散效应，仅初场用途。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benchmarks/verified/laplace_droplet/run.py --dims 2,3 --device2d cpu --device3d cuda:0 --out &lt;dir&gt;</w:t>
      </w:r>
    </w:p>
    <w:p>
      <w:r>
        <w:t>预期结果 — 2D：σ_eff ≈ 0.056112（max dev 0.80%、R² 1.0000000）；3D：σ_eff ≈ 0.056170（max dev 1.11%）；verified = True</w:t>
      </w:r>
    </w:p>
    <w:p>
      <w:r>
        <w:t>参考耗时 — 2D CPU 约 1-2 分钟；3D GPU 约 10 分钟（本演示档 2D 复跑实测 538 s）</w:t>
      </w:r>
    </w:p>
    <w:p>
      <w:r>
        <w:t>入库位置 — benchmarks/verified/laplace_droplet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