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周期圆柱方阵渗透率（Sangani–Acrivos 1982）</w:t>
      </w:r>
    </w:p>
    <w:p>
      <w:pPr>
        <w:jc w:val="center"/>
      </w:pPr>
      <w:r>
        <w:t>Permeability of a Periodic Square Cylinder Array (Sangani &amp; Acrivos, 1982)</w:t>
      </w:r>
    </w:p>
    <w:p>
      <w:r>
        <w:t>摘要 — 单相 Stokes 渗流标准问题：周期单位胞内一根圆柱，流体域掩码体力驱动，k_sim = ν·⟨u_x⟩_fluid/a 对 Sangani &amp; Acrivos (1982) 多极级数压力形拖曳表的k_ref = d²/((1−φ)·f)。fs=10 主协议下 φ=0.3（d=26/52/104）误差链 6.53% → 2.86% → 1.38%、φ=0.5（d=20/40/80/160/320）73.87% → 27.19% → 10.39% → 3.54% → 0.05%，两链严格单调、最细档 1.3797% / 0.0484% ≤3%（入库总判 PASS）。真实模拟、无外推、无重标定（extrap = none）。</w:t>
      </w:r>
    </w:p>
    <w:p>
      <w:pPr>
        <w:pStyle w:val="Heading1"/>
      </w:pPr>
      <w:r>
        <w:t>1. Benchmark 介绍</w:t>
      </w:r>
    </w:p>
    <w:p>
      <w:r>
        <w:t>多孔介质渗透率把「细观几何」与「宏观 Darcy 定律」直接相连：对周期性圆柱方阵，Sangani &amp; Acrivos (1982) 用多极级数法给出了任意体积分数下的精确拖曳系数，是二维 Stokes 渗流的事实标准参考（Basilisk 教学 cylinders.c 同表）。对 LBM，该问题同时检验：周期流迁、反弹边界、体力驱动与 Stokes 极限（Ma、Re 足够小）的守恒链。</w:t>
      </w:r>
    </w:p>
    <w:p>
      <w:r>
        <w:t>口径要点（本档案 2026-09-21 修订后）：Sangani 的 f 是压力形拖曳（含圆柱投影面上的幻影压力），流体域掩码体力与均匀压力梯度 G=a 产生同一速度场，故 k_sim = ν·⟨u_x⟩_fluid/a 对应 k_ref = d²/((1−φ)·f)。冻结预注册通道（k_ref = d²/f）仍并列报告以保透明。</w:t>
      </w:r>
    </w:p>
    <w:p>
      <w:r>
        <w:t>数值注记（fp32 注入舍入）：体力幅度 a_body ∝ d⁻³，d=320、fs=1 时每模式增量 3a ≈ 1.4×fp32 ε 落入 ulp 网格，实际/名义注入比 r = 1.185 恰等于该档k 观测超出比——fs=1/8/10 三尺度闭合 k_true 散布 0.044%。判定因此采用 fs=10 协议（全档注入增量 3a/ε ≥ 14、Re_cell 0.50–0.64 保持 Stokes 区）。</w:t>
      </w:r>
    </w:p>
    <w:p>
      <w:pPr>
        <w:pStyle w:val="Heading2"/>
      </w:pPr>
      <w:r>
        <w:t>物理与数学背景</w:t>
      </w:r>
    </w:p>
    <w:p>
      <w:r>
        <w:t>Stokes 极限下的周期渗流：−∇p + μ∇²u + ρa = 0、∇·u = 0（固体 u=0），Darcy 定律 ⟨u⟩ = (k/μ)·G；LBM 侧为 D2Q9 BGK + 周期流迁 + 胞元反弹 + 流体域掩码体力。</w:t>
      </w:r>
    </w:p>
    <w:p>
      <w:r>
        <w:rPr>
          <w:rFonts w:ascii="Consolas" w:hAnsi="Consolas"/>
          <w:sz w:val="19"/>
        </w:rPr>
        <w:t>Sangani 压力形拖曳：f = G·L²/(μ·U_D)（U_D = 流体域平均速度 ×(1−φ) 折算）</w:t>
      </w:r>
    </w:p>
    <w:p>
      <w:r>
        <w:rPr>
          <w:rFonts w:ascii="Consolas" w:hAnsi="Consolas"/>
          <w:sz w:val="19"/>
        </w:rPr>
        <w:t>k_ref = d² / ((1−φ)·f_table)</w:t>
      </w:r>
    </w:p>
    <w:p>
      <w:r>
        <w:rPr>
          <w:rFonts w:ascii="Consolas" w:hAnsi="Consolas"/>
          <w:sz w:val="19"/>
        </w:rPr>
        <w:t>k_sim = ν·⟨u_x⟩_fluid / a（a 为掩码体力幅度）</w:t>
      </w:r>
    </w:p>
    <w:p>
      <w:r>
        <w:rPr>
          <w:rFonts w:ascii="Consolas" w:hAnsi="Consolas"/>
          <w:sz w:val="19"/>
        </w:rPr>
        <w:t>误差判据：err = |k_sim/k_ref − 1|，逐 φ 严格单调下降 + 最细档 ≤3%</w:t>
      </w:r>
    </w:p>
    <w:p>
      <w:r>
        <w:t>参考解 — Sangani &amp; Acrivos (1982) Table 1（φ: 0.05→0.75，f: 15.56→1.263e5），与 Basilisk cylinders.c 逐字一致；归一化 k_ref 经独立 FD/MAC Stokes 解算器交叉验证（N=320 连续介质解 err 1.92% 单调收敛）。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Sangani A.S., Acrivos A. (1982), Slow flow past periodic arrays of cylinders with application to heat transfer, Int. J. Multiphase Flow 8(2), 193-206（DOI 10.1016/0301-9322(82)90029-5）.</w:t>
      </w:r>
    </w:p>
    <w:p>
      <w:pPr>
        <w:pStyle w:val="ListBullet"/>
      </w:pPr>
      <w:r>
        <w:t>Didarul Islam M.R., et al. (2021), Fluids 6(9), 334（表值数字级交叉）.</w:t>
      </w:r>
    </w:p>
    <w:p>
      <w:pPr>
        <w:pStyle w:val="ListBullet"/>
      </w:pPr>
      <w:r>
        <w:t>Darcy H. (1856), Les Fontaines Publiques de la Ville de Dijon.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BGK 单相 Stokes 渗流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tensorlbm.solver.collide_bgk + stream（周期）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固体处理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bounce-back 胞元反弹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tensorlbm.boundaries.bounce_back_cells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驱动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流体域掩码体力 a（沿 x）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tensorlbm.turbulent_channel._apply_body_force_2d；步序 collide → stream → 掩码体力 → 反弹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 / 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 / 0.166667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ν = (τ−1/2)/3 = 1/6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雷诺数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Re_target = 0.05（fs=10 时 Re_cell 0.50–0.64）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Stokes 区；Ma ≤ 0.169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几何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d×d 周期单位胞内一根圆柱 R = d·√(φ/π)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周期折叠距离布尔掩码（几何非物理核）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渗透率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k_sim = ν·⟨u_x⟩_fluid / 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测量窗 = 末 20 采样（4000 步）均值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Sangani &amp; Acrivos (1982) 压力形 f 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k_ref = d²/((1−φ)·f)；Sangani &amp; Acrivos 1982, Int. J. Multiphase Flow 8(2):193-206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 strictly decreasing with refinement per phi AND finest &lt;= 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主协议 fs=10；入库总判 = PASS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3：单案快速体验（φ=0.3、d=52，CPU 数十秒）</w:t>
      </w:r>
    </w:p>
    <w:p>
      <w:r>
        <w:rPr>
          <w:rFonts w:ascii="Consolas" w:hAnsi="Consolas"/>
          <w:color w:val="1F4E79"/>
          <w:sz w:val="19"/>
        </w:rPr>
        <w:t>python benchmarks/verified/permeability/run.py case --phi 0.3 --d 52 --force-scale 10 --device cpu</w:t>
      </w:r>
    </w:p>
    <w:p>
      <w:r>
        <w:t>步骤 4：正式阶梯（需空闲 CUDA 设备，d320 约 40 分钟）+ 汇总 result.json</w:t>
      </w:r>
    </w:p>
    <w:p>
      <w:r>
        <w:rPr>
          <w:rFonts w:ascii="Consolas" w:hAnsi="Consolas"/>
          <w:color w:val="1F4E79"/>
          <w:sz w:val="19"/>
        </w:rPr>
        <w:t>python benchmarks/verified/permeability/run.py ladder --phi 0.5 --force-scale 10 --device cuda:0 &amp;&amp; python benchmarks/verified/permeability/run.py report</w:t>
      </w:r>
    </w:p>
    <w:p>
      <w:pPr>
        <w:pStyle w:val="Heading2"/>
      </w:pPr>
      <w:r>
        <w:t>场量可视化演示脚本</w:t>
      </w:r>
    </w:p>
    <w:p>
      <w:r>
        <w:t>场量可视化演示：与正式档同一组库入口、同一 fs=10 协议的四案迷你阶梯（φ=0.3 d=26/52、φ=0.5 d=20/40；正式档为 3+5 档全阶梯），纯 CPU 合计约 4 分钟；输出掩码几何、终态速度场与 ⟨u_x⟩_fluid 收敛史。演示档四案实测 err：6.54%、2.86%、73.87%、27.19%（d=26/52 与入库同档位一致；φ=0.5 粗档窄缝仅数格点、离散误差大是分辨率事实），判据数字一律取自入库扫描。</w:t>
      </w:r>
    </w:p>
    <w:p>
      <w:r>
        <w:rPr>
          <w:rFonts w:ascii="Consolas" w:hAnsi="Consolas"/>
          <w:sz w:val="19"/>
        </w:rPr>
        <w:t>python docs/benchmarks/demos/permeability_demo.py --cases 0.3:26,0.3:52,0.5:20,0.5:40 --out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入库阶梯结果（fs=10 主协议，全 8 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档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φ_actual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k_sim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k_ref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err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err_B（诊断）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Re_cell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步数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d=26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0.2914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9.9981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9.3850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6.5335%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2.63%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64k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d=52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0.2977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38.6135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37.5399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2.8598%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1.85%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86k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d=104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0.2996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152.2314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150.1597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1.3797%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1.23%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71k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d=20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0.4825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2.6119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73.8696%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56.03%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d=40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0.4956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7.6425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6.0088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27.1874%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23.86%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0.64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d=80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0.4995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26.5326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24.0353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10.3903%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10.08%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d=160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99.5399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96.1412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3.5351%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58k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d=320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384.3787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384.5648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0.0484%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0.09%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71k</w:t>
            </w:r>
          </w:p>
        </w:tc>
      </w:tr>
    </w:tbl>
    <w:p/>
    <w:p>
      <w:r>
        <w:rPr>
          <w:i/>
        </w:rPr>
        <w:t>来源：benchmarks/verified/permeability/result.json（created 2026-09-20T22:52:03Z）。err_B 为 φ_actual 对数插值诊断通道（非判据）；步数为实际运行值（稳态提前停）。</w:t>
      </w:r>
    </w:p>
    <w:p>
      <w:r>
        <w:drawing>
          <wp:inline xmlns:a="http://schemas.openxmlformats.org/drawingml/2006/main" xmlns:pic="http://schemas.openxmlformats.org/drawingml/2006/picture">
            <wp:extent cx="5580000" cy="2181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uxf_tr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 ⟨u_x⟩_fluid 收敛史：四案均从零发展到稳态平台（φ=0.5 档因窄缝强阻滞发展更慢、终值更小——渗透率数量级差异的直接体现）。</w:t>
      </w:r>
    </w:p>
    <w:p>
      <w:r>
        <w:drawing>
          <wp:inline xmlns:a="http://schemas.openxmlformats.org/drawingml/2006/main" xmlns:pic="http://schemas.openxmlformats.org/drawingml/2006/picture">
            <wp:extent cx="5580000" cy="24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geometry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演示档（φ=0.3，d=52）：左=周期单位胞几何（蓝=流体，白=圆柱实心；红虚线为名义半径圆——楼梯化边界即 φ_actual 与名义 φ 的微小差异来源）；右=终态速度幅值与流线（绕流驻滞点 + 上下窄缝射流，体力沿 x 驱动；固体格点速度置 NaN，流线在圆柱边界断开——固体内速度无定义）。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Sangani–Acrivos 参考的比较 / 协议与敏感性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要点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fs=10 协议（判定）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φ=0.3 与 φ=0.5 全过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iff err strictly decreases with refinement for every ph……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fs=1 协议（并列披露）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φ=0.5 细档非单调（d320 19.92%）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fp32 注入舍入伪差：a_body ∝ d⁻³ 落入 ulp 网格（详见数值注记）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S1 力线性（Stokes 不变性）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见档案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容差 0.1%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粗档 0.02–0.16%；d104/d160 边缘 1.16–1.93%、d320(fs1) 16.65% 同舍入伪差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S2 测量窗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末 2000 vs 8000 步差 ≤0.05%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四档 0.0026%–0.0014%（稳态充分）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544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网格（d）收敛（入库档 + 演示档星标）：φ=0.3 链 6.53% → 2.86% → 1.38%、φ=0.5 链 73.87% → 27.19% → 10.39% → 3.54% → 0.05%，两链严格单调，最细档双双进入 3% 门。窄缝 O(1/d) 离散误差是粗档偏高的物理来源（φ=0.5 时圆柱间隙仅数格点）。</w:t>
      </w:r>
    </w:p>
    <w:p>
      <w:r>
        <w:drawing>
          <wp:inline xmlns:a="http://schemas.openxmlformats.org/drawingml/2006/main" xmlns:pic="http://schemas.openxmlformats.org/drawingml/2006/picture">
            <wp:extent cx="5580000" cy="3692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sangani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参考曲线：Sangani &amp; Acrivos (1982) 压力形拖曳 f(φ) 在 φ→φ_max 发散（方阵密堆积前渗透率骤降）；本基准取 φ=0.3/0.5 两个代表点（方框；表值 f = 102.90 / 532.55，对应 k_ref 归一化（1−φ） 因子差异 2.4×）。</w:t>
      </w:r>
    </w:p>
    <w:p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protoc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体力幅度协议对比（入库）：fs=10（判定协议，实线）两链干净单调；fs=1（虚线）φ=0.5 链在 d=320 反跳至 19.92%——fp32 注入舍入伪差（a_body ∝ d⁻³ 落入 ulp 网格），fs=1/8/10 三尺度闭合同一 k_true，故判定采用 fs=10。</w:t>
      </w:r>
    </w:p>
    <w:p>
      <w:pPr>
        <w:pStyle w:val="ListBullet"/>
      </w:pPr>
      <w:r>
        <w:t>误差定义：err = |k_sim/k_ref − 1|，k_ref = d²/((1−φ)·f_table)（名义几何，无有效半径重标定；φ_actual 插值通道 err_B 并列披露）；判据 = 逐 φ 严格单调 + 最细档 ≤3%。</w:t>
      </w:r>
    </w:p>
    <w:p>
      <w:pPr>
        <w:pStyle w:val="ListBullet"/>
      </w:pPr>
      <w:r>
        <w:t>质量指标：fp32 质量漂移 3.6e-5–1.7e-4（fs10 链）、uy 对称比 0.43–0.45、全档稳态触发。</w:t>
      </w:r>
    </w:p>
    <w:p>
      <w:pPr>
        <w:pStyle w:val="ListBullet"/>
      </w:pPr>
      <w:r>
        <w:t>d320(fs10) 档 0.0484% 含真实离散误差（+1.2%）与注入亏缺（−1.24%）的部分抵消，判定按实测值不做校正；d160 档 3.54% 超最细档门但不在最细位置（判定规则为最细档 ≤3% + 全链单调）。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benchmarks/verified/permeability/run.py ladder --phi 0.3 --force-scale 10 --device cuda:0 &amp;&amp; python benchmarks/verified/permeability/run.py ladder --phi 0.5 --force-scale 10 --device cuda:0 &amp;&amp; python benchmarks/verified/permeability/run.py report</w:t>
      </w:r>
    </w:p>
    <w:p>
      <w:r>
        <w:t>预期结果 — φ=0.3 链 err：6.5335% → 2.8598% → 1.3797%；φ=0.5 链 err：73.8696% → 27.1874% → 10.3903% → 3.5351% → 0.0484%；两链单调 + 最细档 ≤3%；总判 = PASS</w:t>
      </w:r>
    </w:p>
    <w:p>
      <w:r>
        <w:t>参考耗时 — GPU 全阶梯两 φ 合计数小时（d320 单档约 40 分钟、71k 步）；本演示档 CPU 四案实测 4 分钟</w:t>
      </w:r>
    </w:p>
    <w:p>
      <w:r>
        <w:t>入库位置 — benchmarks/verified/permeability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