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Stokes 第二问题：振荡平板的受迫振荡边界层</w:t>
      </w:r>
    </w:p>
    <w:p>
      <w:pPr>
        <w:jc w:val="center"/>
      </w:pPr>
      <w:r>
        <w:t>Stokes Second Problem — Oscillating Plate (Stokes Layer)</w:t>
      </w:r>
    </w:p>
    <w:p>
      <w:r>
        <w:t>摘要 — TensorLBM D2Q9 BGK 求解器对 Stokes 第二问题稳态周期解析解的直接验证：平板在自身平面内以 u=U·cos(ωt) 谐波振荡，流体速度 u(y,t)=U·e^(−ky)·cos(ωt−ky)，k=sqrt(ω/2ν)。入库6 配置（kH=6/8 × H=50/100/200）复振幅最大误差 0.425%（最粗档）→ 0.020%（最细档），全部远低于 3% 门，两条 kH 线三档网格严格单调收敛（err_decreased = True），入库判定 pass = True。</w:t>
      </w:r>
    </w:p>
    <w:p>
      <w:pPr>
        <w:pStyle w:val="Heading1"/>
      </w:pPr>
      <w:r>
        <w:t>1. Benchmark 介绍</w:t>
      </w:r>
    </w:p>
    <w:p>
      <w:r>
        <w:t>Stokes 第二问题是振荡边界层的经典基准：半无限流体中无限平板以 u_w(t)=U·cos(ωt) 在自身平面内谐波振荡。稳态周期解析解（Batchelor；Landau–Lifshitz §24）为 u(y,t) = U·e^(−ky)·cos(ωt−ky)，k = sqrt(ω/(2ν))：幅值随深度指数衰减、相位线性滞后，皆由单一穿透波数 k 决定。</w:t>
      </w:r>
    </w:p>
    <w:p>
      <w:r>
        <w:t>该解同时检验时变边界条件、周期稳态的到达过程与幅值/相位两个独立观测通道，是脉动流（Womersley 族）的前置验证。物理上它就是血管/流动管道中的 Stokes 层。</w:t>
      </w:r>
    </w:p>
    <w:p>
      <w:r>
        <w:t>本案例的核心工程发现：远场边界必须取自由滑移（镜面反射）。无滑移远壁会污染这族物理的衰减尾部——同 k 深域对照显示壁在 6 个衰减长度时误差 2.65%、18 个衰减长度时 0.064%（40 倍消失），且该误差对 (H, τ) 细化均不可再细化（2.4–3.4% 地板）；换自由滑移远场后H=50 粗网格误差即降至 0.303% 并正常随加密收敛。</w:t>
      </w:r>
    </w:p>
    <w:p>
      <w:pPr>
        <w:pStyle w:val="Heading2"/>
      </w:pPr>
      <w:r>
        <w:t>物理与数学背景</w:t>
      </w:r>
    </w:p>
    <w:p>
      <w:r>
        <w:t>一维扩散方程的谐波受迫稳态解（Stokes 层）的格子 Boltzmann 离散：D2Q9、BGK 碰撞、x 向周期流迁。</w:t>
      </w:r>
    </w:p>
    <w:p>
      <w:r>
        <w:rPr>
          <w:rFonts w:ascii="Consolas" w:hAnsi="Consolas"/>
          <w:sz w:val="19"/>
        </w:rPr>
        <w:t>u(y,t) = U · exp(−k·y) · cos(ω·t − k·y)</w:t>
      </w:r>
    </w:p>
    <w:p>
      <w:r>
        <w:rPr>
          <w:rFonts w:ascii="Consolas" w:hAnsi="Consolas"/>
          <w:sz w:val="19"/>
        </w:rPr>
        <w:t>k = sqrt(ω / (2ν))，ν = (τ − 1/2)/3，Ma = U·sqrt(3)</w:t>
      </w:r>
    </w:p>
    <w:p>
      <w:r>
        <w:rPr>
          <w:rFonts w:ascii="Consolas" w:hAnsi="Consolas"/>
          <w:sz w:val="19"/>
        </w:rPr>
        <w:t>测量：phasor 解调 U(y) = (2/N)·Σ u(y,t)·e^(−iωt)，A=|U|，φ=−arg U</w:t>
      </w:r>
    </w:p>
    <w:p>
      <w:r>
        <w:rPr>
          <w:rFonts w:ascii="Consolas" w:hAnsi="Consolas"/>
          <w:sz w:val="19"/>
        </w:rPr>
        <w:t>复振幅误差 = max |U_num/U_ana − 1|（A_ana ≥ 10%U 行集）</w:t>
      </w:r>
    </w:p>
    <w:p>
      <w:r>
        <w:t>参考解 — Batchelor §4.3；Landau &amp; Lifshitz §24 稳态周期解。深度自板节点起算：y(row) = (ny−1) − row（Zou/He 在边界节点规定速度）。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Batchelor G.K., An Introduction to Fluid Dynamics, §4.3 (Stokes layer).</w:t>
      </w:r>
    </w:p>
    <w:p>
      <w:pPr>
        <w:pStyle w:val="ListBullet"/>
      </w:pPr>
      <w:r>
        <w:t>Landau L.D., Lifshitz E.M., Fluid Mechanics, §24.</w:t>
      </w:r>
    </w:p>
    <w:p>
      <w:pPr>
        <w:pStyle w:val="ListBullet"/>
      </w:pPr>
      <w:r>
        <w:t>Zou Q., He X. (1997), On pressure and velocity boundary conditions for the lattice Boltzmann BGK model, Phys. Fluids 9, 1591-1598.</w:t>
      </w:r>
    </w:p>
    <w:p>
      <w:pPr>
        <w:pStyle w:val="Heading1"/>
      </w:pPr>
      <w:r>
        <w:t>2. 计算条件设置</w:t>
      </w:r>
    </w:p>
    <w:p>
      <w:r>
        <w:t>正式档计算条件取自入库 scan_out/result.json（程序化注入，下同）。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tau=0.8（ν=0.1），tensorlbm.solver.collide_bgk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振荡板速度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u_lid(t)=U·cos(ωt)，U=0.05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 = U·sqrt(3) ≈ 0.087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平板边界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顶行 Zou/He 移动盖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tensorlbm.lid_driven_cavity.zou_he_moving_lid，每步时变标量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远场边界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底行自由滑移镜面反射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SPECULAR 置换（无滑移远壁会造成 ~2.7% 不可细化地板，见 README 证据链）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H=50/100/200 × nx=8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 = k·H = 6 / 8 两条扫描线，k = kH/H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瞬态处理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跳过 10–17 个整周期后测 4 个整周期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phasor 解调只在完整周期上进行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幅值/相位/复振幅 max 误差 ≤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行集：A_ana ≥ 10%U；相位另加 φ_ana ≥ 1 rad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GPU（入库档）；CPU（演示档）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 6 配置合计约 23 分钟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3：单配置快速复现（H=100 kH=6，CPU 约 1 分钟）</w:t>
      </w:r>
    </w:p>
    <w:p>
      <w:r>
        <w:rPr>
          <w:rFonts w:ascii="Consolas" w:hAnsi="Consolas"/>
          <w:color w:val="1F4E79"/>
          <w:sz w:val="19"/>
        </w:rPr>
        <w:t>python benchmarks/verified/stokes_second_problem/run.py single 100 6 case.json --device cpu</w:t>
      </w:r>
    </w:p>
    <w:p>
      <w:r>
        <w:t>步骤 4：正式 6 配置网格收敛扫描，写出判定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benchmarks/verified/stokes_second_problem/run.py scan scan_out --H 50 100 200 --kH 6 8 --device cpu</w:t>
      </w:r>
    </w:p>
    <w:p>
      <w:pPr>
        <w:pStyle w:val="Heading2"/>
      </w:pPr>
      <w:r>
        <w:t>场量可视化演示脚本</w:t>
      </w:r>
    </w:p>
    <w:p>
      <w:r>
        <w:t>非定常演化演示：与入库档同参数（H=100、kH=6、tau=0.8）CPU 真跑约 51 s（122,178 步 = 跳过 87,270 + 测量 4 个整周期），输出 8 相位瞬时剖面、幅值/相位剖面（phasor 解调）与三深度一个周期内的速度时序；判据数字一律取自入库扫描。</w:t>
      </w:r>
    </w:p>
    <w:p>
      <w:r>
        <w:rPr>
          <w:rFonts w:ascii="Consolas" w:hAnsi="Consolas"/>
          <w:sz w:val="19"/>
        </w:rPr>
        <w:t>python docs/benchmarks/demos/stokes_second_demo.py --H 100 --kH 6 --tau 0.8 --U 0.05 --out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入库扫描结果（kH × H 共 6 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扫描线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网格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幅值 max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相位 max（rel；abs）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复振幅 max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总步数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0.106%（0.14°）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30,548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0.042%（0.05°）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122,178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0.023%（0.03°）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488,698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0.147%（0.17°）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25,767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0.036%（0.05°）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103,089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kH=8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H=200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0.008%（0.01°）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412,335</w:t>
            </w:r>
          </w:p>
        </w:tc>
      </w:tr>
    </w:tbl>
    <w:p/>
    <w:p>
      <w:r>
        <w:rPr>
          <w:i/>
        </w:rPr>
        <w:t>来源：benchmarks/verified/stokes_second_problem/scan_out/result.json（status = VERIFIED）。复振幅误差为入库判定主指标。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与解析解的比较及边界诊断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最差配置（6 档中）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kH=8 / H=50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幅值 0.310%，相位 0.147%（0.17°），复振幅 0.425%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最好配置（6 档中）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kH=8 / H=200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幅值 0.010%，相位 0.008%（0.01°），复振幅 0.020%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边界行诊断（H=100, kH=6）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板行幅值比 1.00004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远场行幅值 0.0047·U（应≈0）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质量漂移（最差档）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0.369%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Zou/He 盖在边界节点调节密度，非严格守恒（cavity 机制已知性质）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掩模行数（H=100, kH=6）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幅值 38 行 / 相位 22 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先验固定掩模，各网格一致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76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napsh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演示档（H=100，kH=6）一个周期内 8 个相位的瞬时速度剖面（实线）与解析解（虚线）：幅值指数衰减与相位滞后逐相位吻合。</w:t>
      </w:r>
    </w:p>
    <w:p>
      <w:r>
        <w:drawing>
          <wp:inline xmlns:a="http://schemas.openxmlformats.org/drawingml/2006/main" xmlns:pic="http://schemas.openxmlformats.org/drawingml/2006/picture">
            <wp:extent cx="5580000" cy="361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tra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演示档三个深度（板下 5/20/45 格）一个周期内的速度时序（实线）与解析解（虚线）：浅处幅值大、深处幅值小且相位明显滞后。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amp_p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 phasor 解调结果：左=幅值随深度指数衰减（对数轴上为直线，与 U·exp(−k·y) 重合）；右=相位滞后随深度线性增长（斜率 k，360° 解卷绕并对齐解析支路显示；灰带深于 A=10%U，不入判据行集）。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phas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 H=200（kH=6）幅值与相位剖面：四十年格的衰减动态范围内数值与解析解在双轴上重合（相位按 360° 解卷绕并对齐解析支路显示；灰带深于 A=10%U 判据截止，深处相位仅作形态展示）。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入库判据数字：左=复振幅误差沿两条 kH 线随 H 单调下降（每档加密降约 2.5–5×，全部 ≤3% 门内）；右=幅值/相位分指标同步收敛。</w:t>
      </w:r>
    </w:p>
    <w:p>
      <w:pPr>
        <w:pStyle w:val="ListBullet"/>
      </w:pPr>
      <w:r>
        <w:t>误差定义：复振幅 max |U_num/U_ana − 1|（行集 A_ana ≥ 10%U）；相位相对误差另要求 φ_ana ≥ 1 rad（板附近解析滞后 →0 处相对相位无意义）；绝对相位误差按度报告。</w:t>
      </w:r>
    </w:p>
    <w:p>
      <w:pPr>
        <w:pStyle w:val="ListBullet"/>
      </w:pPr>
      <w:r>
        <w:t>跳过窗口协议：startup 瞬态按 skip = max(10, ceil(8·tau_diff/T)) 个整周期跳过（tau_diff = H²/(π²ν)，实测 skip ≈ 8.6 个 e-fold，残量 ~e^-8.6），测量恰为 4 个整周期；跳过窗口逐配置记录于 case json。</w:t>
      </w:r>
    </w:p>
    <w:p>
      <w:pPr>
        <w:pStyle w:val="ListBullet"/>
      </w:pPr>
      <w:r>
        <w:t>本案例为直接观测量对解析解（无任何模型修正或重标定），符合严格入库标准。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benchmarks/verified/stokes_second_problem/run.py scan scan_out --H 50 100 200 --kH 6 8 --device cpu</w:t>
      </w:r>
    </w:p>
    <w:p>
      <w:r>
        <w:t>预期结果 — 复振幅 max：kH=6 线 0.303% → 0.109% → 0.053%；kH=8 线 0.425% → 0.108% → 0.020%（单调下降，全部 ≤3%，passed=True）</w:t>
      </w:r>
    </w:p>
    <w:p>
      <w:r>
        <w:t>参考耗时 — 入库档 6 配置合计约 3 分钟（GPU 实测；CPU 演示档 H=100 约 51 s）</w:t>
      </w:r>
    </w:p>
    <w:p>
      <w:r>
        <w:t>入库位置 — benchmarks/verified/stokes_second_problem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