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Womersley 振荡流：周期脉动压力梯度驱动的通道流</w:t>
      </w:r>
    </w:p>
    <w:p>
      <w:pPr>
        <w:jc w:val="center"/>
      </w:pPr>
      <w:r>
        <w:t>Womersley Oscillating Flow — Pulsatile Channel (Womersley 1955)</w:t>
      </w:r>
    </w:p>
    <w:p>
      <w:r>
        <w:t>摘要 — TensorLBM D2Q9 BGK 求解器对 Womersley (1955) 稳态周期解析解的直接验证：通道受谐波振荡体力 a(t)=a0·cos(ωt) 驱动，alpha=4/8 × H=59/119 四配置的 8 相位剖面 L2 误差（固定尺度）最大 0.389%、逐行复振幅最大 2.900%（均为最粗档），H 加倍后分别降至 0.101% / 0.450%（单调收敛），全部远低于 3% 门，入库判定 pass = True。</w:t>
      </w:r>
    </w:p>
    <w:p>
      <w:pPr>
        <w:pStyle w:val="Heading1"/>
      </w:pPr>
      <w:r>
        <w:t>1. Benchmark 介绍</w:t>
      </w:r>
    </w:p>
    <w:p>
      <w:r>
        <w:t>Womersley 流是脉动管流/血管流的经典基准：平面通道（壁面 y=0, H）受谐波振荡的流向压力梯度 a(t)=a0·cos(ωt) 驱动。稳态周期解（Womersley 1955; Sexl 1930）的相量形式为 U(y) = (a0/iω)·[1 − cosh(λy′)/cosh(λ)]，λ = sqrt(i)·alpha，alpha = (H/2)·sqrt(ω/ν) 为 Womersley 数。</w:t>
      </w:r>
    </w:p>
    <w:p>
      <w:r>
        <w:t>alpha 刻画振荡惯性粘性之比：alpha→0 退回准稳态抛物线（每相位都是 Poiseuille 剖面）；alpha 增大后核心呈柱塞型（plug-like）、壁面附近出现薄振荡边界层，且剖面在周期内出现换向环带（部分流体反向流动）——正是脉搏波传播的典型形态。本案例覆盖 alpha=4（中等环带效应）与 alpha=8（强柱塞 + 换向相位）两档。</w:t>
      </w:r>
    </w:p>
    <w:p>
      <w:r>
        <w:t>测量口径的工程要点：换向相位（alpha=8 的 ~162°/342°）参考剖面本身过零，瞬时相对 L2 的分母塌缩到峰值的 ~0.28 倍而绝对误差不变，比值病态膨胀（实测同相位逐点误差仅 1.74% 而瞬时比值 5.7%）。入库判据因此用固定尺度 L2（对周期内峰值剖面范数归一），瞬时值逐相位原样记录备查（见 result.json phase_table）。</w:t>
      </w:r>
    </w:p>
    <w:p>
      <w:pPr>
        <w:pStyle w:val="Heading2"/>
      </w:pPr>
      <w:r>
        <w:t>物理与数学背景</w:t>
      </w:r>
    </w:p>
    <w:p>
      <w:r>
        <w:t>一维非定常 Stokes 方程的谐波受迫稳态解的格子 Boltzmann 离散：D2Q9、BGK 碰撞、体力注入 + 周期流迁。</w:t>
      </w:r>
    </w:p>
    <w:p>
      <w:r>
        <w:rPr>
          <w:rFonts w:ascii="Consolas" w:hAnsi="Consolas"/>
          <w:sz w:val="19"/>
        </w:rPr>
        <w:t>u(y,t) = Re{ U(y)·e^(iωt) }</w:t>
      </w:r>
    </w:p>
    <w:p>
      <w:r>
        <w:rPr>
          <w:rFonts w:ascii="Consolas" w:hAnsi="Consolas"/>
          <w:sz w:val="19"/>
        </w:rPr>
        <w:t>U(y) = (a0 / iω) · [ 1 − cosh(λ·y′)/cosh(λ) ],  y′=(y−H/2)/(H/2), λ=sqrt(i)·alpha</w:t>
      </w:r>
    </w:p>
    <w:p>
      <w:r>
        <w:rPr>
          <w:rFonts w:ascii="Consolas" w:hAnsi="Consolas"/>
          <w:sz w:val="19"/>
        </w:rPr>
        <w:t>alpha = (H/2)·sqrt(ω/ν)；omega = 4·alpha²·nu/H_eff²（精确落在解析间隙上）</w:t>
      </w:r>
    </w:p>
    <w:p>
      <w:r>
        <w:rPr>
          <w:rFonts w:ascii="Consolas" w:hAnsi="Consolas"/>
          <w:sz w:val="19"/>
        </w:rPr>
        <w:t>固定尺度 L2 = ||du(t)|| / max_t′ ||u_ref(t′)||（判据口径）；a0 定标使 |U|max = u_peak</w:t>
      </w:r>
    </w:p>
    <w:p>
      <w:r>
        <w:t>参考解 — Womersley (1955) 相量解，numpy 复数算术直接实现（无 scipy）；解析解经 PDE 残差~1e-9 与 ω→0 抛物线极限 1e-12 双重独立校验。</w:t>
      </w:r>
    </w:p>
    <w:p>
      <w:pPr>
        <w:pStyle w:val="Heading3"/>
      </w:pPr>
      <w:r>
        <w:t>参考文献</w:t>
      </w:r>
    </w:p>
    <w:p>
      <w:pPr>
        <w:pStyle w:val="ListBullet"/>
      </w:pPr>
      <w:r>
        <w:t>Womersley J.R. (1955), Method for the calculation of velocity, rate of flow and viscous drag in arteries when the pressure gradient is known, J. Physiol. 127, 553-563.</w:t>
      </w:r>
    </w:p>
    <w:p>
      <w:pPr>
        <w:pStyle w:val="ListBullet"/>
      </w:pPr>
      <w:r>
        <w:t>Sexl T. (1930), Über den von E.G. Richardson entdeckten Annulareffekt, Z. Phys. 61, 349.</w:t>
      </w:r>
    </w:p>
    <w:p>
      <w:pPr>
        <w:pStyle w:val="Heading1"/>
      </w:pPr>
      <w:r>
        <w:t>2. 计算条件设置</w:t>
      </w:r>
    </w:p>
    <w:p>
      <w:r>
        <w:t>正式档计算条件取自入库 scan_out/result.json（程序化注入，下同）。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格子 / 碰撞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D2Q9 / BGK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tau=0.8（nu=0.1），tensorlbm.solver.collide_bgk + stream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驱动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谐波振荡体力 a(t)=a0·cos(ωt)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tensorlbm.turbulent_channel._apply_body_force_2d（库自用通道驱动路径）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壁面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预流半程 bounce-back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f_pre[OPPOSITE] 于壁行；无滑移面 y=0.5/ny−1.5，H_eff=ny−2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Womersley 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alpha = 4 / 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alpha=(H_eff/2)·sqrt(ω/ν)，ω=4·alpha²·ν/H_eff² 精确落在解析间隙上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网格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H=59 / 119（ny=61/121，nx=16）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 周期（stream 内建）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定标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u_peak = 0.03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a0 定标使解析峰值速度=u_peak（Ma=0.052）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瞬态处理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跳过 5–7 个整周期后测 4 个整周期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skip = max(5, ceil(6.5·tau_diff/T))，逐配置记录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验收门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 相位 L2 / 逐点 / 复振幅 ≤ 3%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L2 用固定尺度归一（换向相位病态，见图 4）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运行设备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GPU（入库档）；CPU（演示档）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入库档 4 配置合计约 8 分钟</w:t>
            </w:r>
          </w:p>
        </w:tc>
      </w:tr>
    </w:tbl>
    <w:p/>
    <w:p>
      <w:pPr>
        <w:pStyle w:val="Heading1"/>
      </w:pPr>
      <w:r>
        <w:t>3. 软件使用步骤</w:t>
      </w:r>
    </w:p>
    <w:p>
      <w:r>
        <w:t>环境 — Python ≥ 3.11；依赖 torch / numpy / matplotlib；仓库 src 可导入（pip install -e . 或 PYTHONPATH=&lt;repo&gt;/src）</w:t>
      </w:r>
    </w:p>
    <w:p>
      <w:r>
        <w:t>步骤 1：获取仓库并进入根目录</w:t>
      </w:r>
    </w:p>
    <w:p>
      <w:r>
        <w:rPr>
          <w:rFonts w:ascii="Consolas" w:hAnsi="Consolas"/>
          <w:color w:val="1F4E79"/>
          <w:sz w:val="19"/>
        </w:rPr>
        <w:t>git clone https://github.com/cxs503/TensorLBM.git &amp;&amp; cd TensorLBM</w:t>
      </w:r>
    </w:p>
    <w:p>
      <w:r>
        <w:t>步骤 2：安装/指向 tensorlbm 包</w:t>
      </w:r>
    </w:p>
    <w:p>
      <w:r>
        <w:rPr>
          <w:rFonts w:ascii="Consolas" w:hAnsi="Consolas"/>
          <w:color w:val="1F4E79"/>
          <w:sz w:val="19"/>
        </w:rPr>
        <w:t>pip install -e .   # 或 export PYTHONPATH=$PWD/src</w:t>
      </w:r>
    </w:p>
    <w:p>
      <w:r>
        <w:t>步骤 3：单配置快速复现（H=59 alpha=4，CPU 约 1–2 分钟）</w:t>
      </w:r>
    </w:p>
    <w:p>
      <w:r>
        <w:rPr>
          <w:rFonts w:ascii="Consolas" w:hAnsi="Consolas"/>
          <w:color w:val="1F4E79"/>
          <w:sz w:val="19"/>
        </w:rPr>
        <w:t>python benchmarks/verified/womersley/run.py single 59 4 case.json --device cpu</w:t>
      </w:r>
    </w:p>
    <w:p>
      <w:r>
        <w:t>步骤 4：正式 4 配置网格收敛扫描，写出判定 result.json</w:t>
      </w:r>
    </w:p>
    <w:p>
      <w:r>
        <w:rPr>
          <w:rFonts w:ascii="Consolas" w:hAnsi="Consolas"/>
          <w:color w:val="1F4E79"/>
          <w:sz w:val="19"/>
        </w:rPr>
        <w:t>python benchmarks/verified/womersley/run.py scan scan_out --H 59 119 --alpha 4 8 --device cpu</w:t>
      </w:r>
    </w:p>
    <w:p>
      <w:pPr>
        <w:pStyle w:val="Heading2"/>
      </w:pPr>
      <w:r>
        <w:t>场量可视化演示脚本</w:t>
      </w:r>
    </w:p>
    <w:p>
      <w:r>
        <w:t>非定常演化演示：与入库档同参数（H=59、alpha=4、u_peak=0.03）CPU 真跑约 15 s（37,587 步 = 跳过 23,919 + 测量 4 个整周期），输出 8 相位瞬时剖面与逐行复振幅（phasor 解调）；判据数字一律取自入库扫描。</w:t>
      </w:r>
    </w:p>
    <w:p>
      <w:r>
        <w:rPr>
          <w:rFonts w:ascii="Consolas" w:hAnsi="Consolas"/>
          <w:sz w:val="19"/>
        </w:rPr>
        <w:t>python docs/benchmarks/demos/womersley_demo.py --H 59 --alpha 4 --tau 0.8 --upeak 0.03 --out demo.npz</w:t>
      </w:r>
    </w:p>
    <w:p>
      <w:pPr>
        <w:pStyle w:val="Heading1"/>
      </w:pPr>
      <w:r>
        <w:t>4. 计算结果</w:t>
      </w:r>
    </w:p>
    <w:p>
      <w:r>
        <w:rPr>
          <w:b/>
        </w:rPr>
        <w:t>表 1 入库扫描结果（alpha × H 共 4 配置）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扫描线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网格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L2 max（固定尺度）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逐点/u_peak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复振幅 max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中心线复振幅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总步数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alpha=4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H=59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0.110%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0.109%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0.466%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0.096%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37,587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alpha=4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H=119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0.046%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0.048%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0.144%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0.028%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152,933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alpha=8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H=59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0.389%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0.423%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2.900%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0.375%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26,474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alpha=8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H=119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0.101%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0.107%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0.450%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0.092%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107,756</w:t>
            </w:r>
          </w:p>
        </w:tc>
      </w:tr>
    </w:tbl>
    <w:p/>
    <w:p>
      <w:r>
        <w:rPr>
          <w:i/>
        </w:rPr>
        <w:t>来源：benchmarks/verified/womersley/scan_out/result.json（status = VERIFIED）。</w:t>
      </w:r>
    </w:p>
    <w:p>
      <w:pPr>
        <w:pStyle w:val="Heading1"/>
      </w:pPr>
      <w:r>
        <w:t>5. 与文献 / 解析解的比较</w:t>
      </w:r>
    </w:p>
    <w:p>
      <w:r>
        <w:rPr>
          <w:b/>
        </w:rPr>
        <w:t>表 2 与解析解的比较及诊断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最差 L2 档（4 档中）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alpha=8 / H=59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0.389%（门 3%）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最差复振幅档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alpha=8 / H=59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2.900%：壁面第一行边界层分辨率误差，H 翻倍降到 0.450%（第 2–6 行仅 0.4–0.8%）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中心线复振幅误差（H=59, alpha=4）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0.096%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数值相量 (0.001001, -0.029991) vs 解析 (0.000973, -0.029984)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质量漂移（最差档）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0.082%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全程 finite，无 NaN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瞬时 L2 峰值（H=59, alpha=8，非判据）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2.808%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换向相位 ||u_ref|| 塌缩所致条件数放大，逐相位记录于 phase_table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580000" cy="2856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profi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5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1 演示档（H=59，alpha=4）一个周期内 8 个相位的瞬时剖面（实线）与Womersley 解（虚线）：环带效应下剖面偏离抛物线，部分相位近壁流体反向（负速区），数值与解析逐相位吻合。</w:t>
      </w:r>
    </w:p>
    <w:p>
      <w:r>
        <w:drawing>
          <wp:inline xmlns:a="http://schemas.openxmlformats.org/drawingml/2006/main" xmlns:pic="http://schemas.openxmlformats.org/drawingml/2006/picture">
            <wp:extent cx="5580000" cy="22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phas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2 演示档 phasor 解调：左=复振幅模剖面；右=实部/虚部剖面（实/虚部分别对应与驱动同相/正交的分量），数值与解析双分量重合。</w:t>
      </w:r>
    </w:p>
    <w:p>
      <w:r>
        <w:drawing>
          <wp:inline xmlns:a="http://schemas.openxmlformats.org/drawingml/2006/main" xmlns:pic="http://schemas.openxmlformats.org/drawingml/2006/picture">
            <wp:extent cx="5580000" cy="223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ve_alpha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3 入库档 alpha=8（H=119）相量剖面：核心区 |U| 平坦（柱塞型），壁面附近急剧衰减到零；Re/Im 分量与解析解在换向环带形态上重合。</w:t>
      </w:r>
    </w:p>
    <w:p>
      <w:r>
        <w:drawing>
          <wp:inline xmlns:a="http://schemas.openxmlformats.org/drawingml/2006/main" xmlns:pic="http://schemas.openxmlformats.org/drawingml/2006/picture">
            <wp:extent cx="5580000" cy="35074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ve_condition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07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4 换向相位的 L2 条件数（入库档 H=59，alpha=8）：瞬时相对 L2（红）在162°/342° 相位膨胀，而固定尺度口径（蓝，判据口径）平稳且远低于 3% 门——病态来自参考剖面过零而非误差增长。</w:t>
      </w:r>
    </w:p>
    <w:p>
      <w:r>
        <w:drawing>
          <wp:inline xmlns:a="http://schemas.openxmlformats.org/drawingml/2006/main" xmlns:pic="http://schemas.openxmlformats.org/drawingml/2006/picture">
            <wp:extent cx="5580000" cy="223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5 入库判据数字：左=8 相位剖面 L2（固定尺度）沿两条 alpha 线随 H 单调下降（alpha=4 线 2.4×，alpha=8 线 3.8×）；右=逐行复振幅误差同步收敛（err_decreased = True）。</w:t>
      </w:r>
    </w:p>
    <w:p>
      <w:pPr>
        <w:pStyle w:val="ListBullet"/>
      </w:pPr>
      <w:r>
        <w:t>误差定义：8 个整周期均布相位时刻的剖面 L2（固定尺度归一）与逐点 max/u_peak；复振幅误差行集 |U_ana| ≥ 10%·u_peak。验收门全部 3%。</w:t>
      </w:r>
    </w:p>
    <w:p>
      <w:pPr>
        <w:pStyle w:val="ListBullet"/>
      </w:pPr>
      <w:r>
        <w:t>库缺口如实记录：solver.py 无公开 D2Q9 体力入口（用库自用通道驱动函数 turbulent_channel._apply_body_force_2d，每步精确注入 rho·a）；库壁面函数 bounce_back_cells 为流后全程 BB，对这组解析解壁面错位（alpha=8 时 10.5–12.5% 且不收敛），故沿用 verified/poiseuille_2d 的预流半程 BB 范式。</w:t>
      </w:r>
    </w:p>
    <w:p>
      <w:pPr>
        <w:pStyle w:val="ListBullet"/>
      </w:pPr>
      <w:r>
        <w:t>本案例为直接观测量对解析解（无任何模型修正或重标定），符合严格入库标准。</w:t>
      </w:r>
    </w:p>
    <w:p>
      <w:pPr>
        <w:pStyle w:val="Heading1"/>
      </w:pPr>
      <w:r>
        <w:t>6. 复现说明</w:t>
      </w:r>
    </w:p>
    <w:p>
      <w:r>
        <w:rPr>
          <w:rFonts w:ascii="Consolas" w:hAnsi="Consolas"/>
          <w:sz w:val="19"/>
        </w:rPr>
        <w:t>python benchmarks/verified/womersley/run.py scan scan_out --H 59 119 --alpha 4 8 --device cpu</w:t>
      </w:r>
    </w:p>
    <w:p>
      <w:r>
        <w:t>预期结果 — L2（固定尺度）：alpha=4 线 0.110% → 0.046%；alpha=8 线 0.389% → 0.101%（单调下降，全部 ≤3%，passed=True）</w:t>
      </w:r>
    </w:p>
    <w:p>
      <w:r>
        <w:t>参考耗时 — 入库档 4 配置合计约 8 分钟（GPU 实测；CPU 演示档 H=59 alpha=4 约 15 s）</w:t>
      </w:r>
    </w:p>
    <w:p>
      <w:r>
        <w:t>入库位置 — benchmarks/verified/womersley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