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顶盖驱动方腔流 Re=100（lid-driven cavity）</w:t>
      </w:r>
    </w:p>
    <w:p>
      <w:pPr>
        <w:jc w:val="center"/>
      </w:pPr>
      <w:r>
        <w:t>Lid-Driven Cavity at Re=100 (Ghia et al., 1982)</w:t>
      </w:r>
    </w:p>
    <w:p>
      <w:r>
        <w:t>摘要 — TensorLBM D2Q9 MRT 求解器在 Re=100 方腔流上对 Ghia et al. (1982) 129×129 解的直接验证：两档网格 128²/192² 中线剖面最大偏差 0.75% → 0.73% 单调收敛，全部 ≤3%（入库判定 pass = True）。</w:t>
      </w:r>
    </w:p>
    <w:p>
      <w:pPr>
        <w:pStyle w:val="Heading1"/>
      </w:pPr>
      <w:r>
        <w:t>1. Benchmark 介绍</w:t>
      </w:r>
    </w:p>
    <w:p>
      <w:r>
        <w:t>方腔流是计算流体力学最经典的基准算例之一：顶盖以恒定速度 u_lid 拖动腔内流体，腔内形成主涡与次级角涡。几何简单，但包含回流、涡心驻定、剪切层等关键流动结构，是检验求解器精度与边界处理的首选案例。</w:t>
      </w:r>
    </w:p>
    <w:p>
      <w:r>
        <w:t>本案例 Re = u_lid·H/ν = 100，流动为稳态层流。参考解取 Ghia et al. (1982) 的 129×129 多重网格解——方腔流事实上的标准参考；表值内置于库（tensorlbm.lid_driven_cavity.GHIA_RE100，含竖直/水平中线速度与涡心位置）。</w:t>
      </w:r>
    </w:p>
    <w:p>
      <w:r>
        <w:t>历史注记：早期版本三静止壁使用 post-streaming 全步反弹，顶盖动量经周期环绕注入底壁，Re=100 偏差曾达 22.5%；现行 V3 配方（三静止壁 pre-streaming 半程反弹 + 顶盖 Zou/He 动壁）修复后以两档网格收敛入库。</w:t>
      </w:r>
    </w:p>
    <w:p>
      <w:pPr>
        <w:pStyle w:val="Heading2"/>
      </w:pPr>
      <w:r>
        <w:t>物理与数学背景</w:t>
      </w:r>
    </w:p>
    <w:p>
      <w:r>
        <w:t>不可压 Navier–Stokes 方程的格子 Boltzmann 离散：D2Q9 格子、MRT（多弛豫时间）碰撞算子、拉格朗日流迁。</w:t>
      </w:r>
    </w:p>
    <w:p>
      <w:r>
        <w:rPr>
          <w:rFonts w:ascii="Consolas" w:hAnsi="Consolas"/>
          <w:sz w:val="19"/>
        </w:rPr>
        <w:t>Re = u_lid·H / ν</w:t>
      </w:r>
    </w:p>
    <w:p>
      <w:r>
        <w:rPr>
          <w:rFonts w:ascii="Consolas" w:hAnsi="Consolas"/>
          <w:sz w:val="19"/>
        </w:rPr>
        <w:t>τ = 3·u_lid·nx / Re + 0.5，格子黏度 ν = (τ−0.5)/3</w:t>
      </w:r>
    </w:p>
    <w:p>
      <w:r>
        <w:rPr>
          <w:rFonts w:ascii="Consolas" w:hAnsi="Consolas"/>
          <w:sz w:val="19"/>
        </w:rPr>
        <w:t>p = ρ·c_s²，c_s² = 1/3（格子单位伪压力）</w:t>
      </w:r>
    </w:p>
    <w:p>
      <w:r>
        <w:t>参考解 — Ghia U., Ghia K.N., Shin C.T. (1982) 129×129 多重网格解中线表值；涡心参考 (0.6172, 0.7344)。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Ghia U., Ghia K.N., Shin C.T., High-Re solutions for incompressible flow using the Navier-Stokes equations and a multigrid method, J. Comput. Phys. 48 (1982) 387-411.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顶盖雷诺数 Re = u_lid·H/ν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128² / 192²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两档网格收敛（入库 result.json）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顶盖速度（格子单位）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0.7304 / 0.8456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弛豫参数 τ = 3·u_lid·nx/Re + 0.5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两档同长，稳态残差 ≤ 4.4e-07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MRT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tensorlbm.solver.collide_mrt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 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三静止壁 pre-streaming 半程反弹 + 顶盖 Zou/He 动壁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3：单档快速复现（约 3 分钟，CPU）</w:t>
      </w:r>
    </w:p>
    <w:p>
      <w:r>
        <w:rPr>
          <w:rFonts w:ascii="Consolas" w:hAnsi="Consolas"/>
          <w:color w:val="1F4E79"/>
          <w:sz w:val="19"/>
        </w:rPr>
        <w:t>python benchmarks/verified/cavity/re100/run.py --nx 128 --device cpu</w:t>
      </w:r>
    </w:p>
    <w:p>
      <w:r>
        <w:t>步骤 4：正式两档网格收敛扫描，写出判定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benchmarks/verified/cavity/re100/run.py --nx 128 192 --device cpu --out result.json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场量可视化演示：与正式档同一组库入口，缩短步数（128² × 30000 步，CPU 约 38 s），输出速度场/压力场/中线剖面；判据数字一律取自入库扫描，演示档仅用于可视化。</w:t>
      </w:r>
    </w:p>
    <w:p>
      <w:r>
        <w:rPr>
          <w:rFonts w:ascii="Consolas" w:hAnsi="Consolas"/>
          <w:sz w:val="19"/>
        </w:rPr>
        <w:t>python docs/benchmarks/demos/cavity_re100_demo.py --nx 128 --steps 30000 --out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nx=128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-0.21085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-0.21028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中心点水平速度（Ghia -0.20581）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中心点垂向速度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 (x/H, y/H)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(0.6139, 0.7402)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(0.6141, 0.7388)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Ghia (0.6172, 0.7344)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竖直中线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水平中线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0.7514%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0.7263%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两中线全表点（判据量）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159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302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CPU，正式档</w:t>
            </w:r>
          </w:p>
        </w:tc>
      </w:tr>
    </w:tbl>
    <w:p/>
    <w:p>
      <w:r>
        <w:rPr>
          <w:i/>
        </w:rPr>
        <w:t>来源：benchmarks/verified/cavity/re100/result.json（verified_date = 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演示档（128² × 30000 步，CPU）场量：左=速度幅值与流线（主涡结构清晰），右=压力场 p′ = (ρ−1)/3（涡心低压、顶盖前缘高压滞止区）。演示档缩短步数，场量形态与正式档一致。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Ghia et al. (1982) 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nx=128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nx=192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+2.17%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-0.20581（Ghia 表值）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主涡心偏移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0.0067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0.0054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 Ghia (0.6172, 0.7344)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|偏差|（判据量）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0.7514%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0.7263%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 = True，≤3% 门内，入库 pass = 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u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竖直中线速度剖面 vs Ghia (1982) 17 点表值。曲线为演示档，× / + 为入库两档存档值（u(0.5, 0.5)）。</w:t>
      </w:r>
    </w:p>
    <w:p>
      <w:r>
        <w:drawing>
          <wp:inline xmlns:a="http://schemas.openxmlformats.org/drawingml/2006/main" xmlns:pic="http://schemas.openxmlformats.org/drawingml/2006/picture">
            <wp:extent cx="558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v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水平中线速度剖面 vs Ghia (1982) 17 点表值（演示档曲线）。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网格收敛（入库判据数字）：max|偏差| 0.75% → 0.73% 单调下降；rmse_u / rmse_v 同步收敛。</w:t>
      </w:r>
    </w:p>
    <w:p>
      <w:pPr>
        <w:pStyle w:val="ListBullet"/>
      </w:pPr>
      <w:r>
        <w:t>误差定义：中线剖面 17 个表点的最大绝对偏差（无量纲速度单位）；验收标准 |err| ≤ 3% 且网格细化单调下降。</w:t>
      </w:r>
    </w:p>
    <w:p>
      <w:pPr>
        <w:pStyle w:val="ListBullet"/>
      </w:pPr>
      <w:r>
        <w:t>本案例为直接观测量对参考解（无任何模型修正或重标定），符合严格入库标准。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benchmarks/verified/cavity/re100/run.py --nx 128 192 --device cpu --out result.json</w:t>
      </w:r>
    </w:p>
    <w:p>
      <w:r>
        <w:t>预期结果 — max |偏差| 0.7514% → 0.7263%（单调，≤3%）；u(0.5, 0.5) = -0.21085 / -0.21028（Ghia -0.20581）</w:t>
      </w:r>
    </w:p>
    <w:p>
      <w:r>
        <w:t>参考耗时 — 约 461 s 合计（CPU 32 线程；GPU 更快）</w:t>
      </w:r>
    </w:p>
    <w:p>
      <w:r>
        <w:t>入库位置 — benchmarks/verified/cavity/re100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