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状态方程高密度比伪势液滴 Young–Laplace：σ 全自测与界面加密收敛</w:t>
      </w:r>
    </w:p>
    <w:p>
      <w:pPr>
        <w:jc w:val="center"/>
      </w:pPr>
      <w:r>
        <w:t>High-Density-Ratio PR-EOS Pseudopotential Droplet Young-Laplace: Self-Measured Sigma and Interface Refinement Convergence</w:t>
      </w:r>
    </w:p>
    <w:p>
      <w:r>
        <w:t>摘要 — Peng–Robinson 状态方程伪势单组分模型（T_r = 0.55，修正符号 ψ² = 2(ρcs² − p_EOS)/cs²、G = +1、EDM 精确差分力）在周期域圆形液滴上自测表面张力：每档 4 个半径作 ΔP vs 1/R_eff 线性拟合（LSQ、自由截距），主档三档界面加密 L = 128/192/256 得 σ = 0.320226 → 0.326492 → 0.329422，|Δσ| 非增（6.27e-03 → 2.93e-03）、逐档残差 RMS/max(Δp) ≤ 0.0999%（门 3%），24/24 run 稳定且质量漂移率 ≤ 7.83e-09/步，稳态密度比 400–557（≥100 目标）——σ 完全由模拟自身压差提取，零外部参考输入，主档双条款 PASS（pass_both = True）。</w:t>
      </w:r>
    </w:p>
    <w:p>
      <w:pPr>
        <w:pStyle w:val="Heading1"/>
      </w:pPr>
      <w:r>
        <w:t>1. Benchmark 介绍</w:t>
      </w:r>
    </w:p>
    <w:p>
      <w:r>
        <w:t>Young–Laplace 定律（ΔP = σ/R，2D 圆柱液滴）是界面方法表面张力自洽性的定义性检验。与既有 laplace_droplet 案（SC94 多项式伪势、密度比≈12:1）相比，本案例把同一检验推进到工程上更难的参数区：Peng–Robinson真实气体状态方程、T_r = 0.55 高密度比共存的伪势单组分模型——这正是液滴蒸发、沸腾、油水输运等应用的基础物理。</w:t>
      </w:r>
    </w:p>
    <w:p>
      <w:r>
        <w:t>方法学上本基准强调「σ 全自测」：表面张力不是对任何文献值标定，而是每档由 4 个半径的 ΔP vs 1/R_eff 线性拟合斜率提取，验证目标是 Laplace 线性成立（clause_i 残差门）与 σ 随界面网格加密收敛（clause_ii |Δσ| 非增）两条内禀判据。机械压差由 p_mech = ρcs² − (G/2)cs²ψ² 直接场量平均得到——修正符号伪势与 G = +1 配对使 p_mech = p_EOS 逐点成立，压差测量无任何外推。</w:t>
      </w:r>
    </w:p>
    <w:p>
      <w:r>
        <w:t>库依赖：本目录与库修正同源——tensorlbm.multiphase 新增修正符号伪势工厂 make_psi_eos（YS2006 逐字参数 a = 0.0408163、b = 0.0952381、R = 1），并为 collide_sc_single_component 增加 opt-in forcing 参数（"edm" 精确差分；默认 "sc" 与补丁前实现逐位相同，回归测试锁定）。冻结的验收文本对「每档 R 阶梯」存在两种读法，处理方式是在出数之前声明歧义、双跑双报：主档（判决）= R/L 保持即界面加密；副档（披露）= 固定绝对 R 放大域。副档 σ 随 L 单调上升（|Δσ| = 1.55e-03 → 1.09e-02 递增），说明该参数点 σ 对域尺寸仍敏感——界面加密收敛与域尺寸收敛是两个独立方向，副档即域尺寸方向的如实披露，不参与判决。</w:t>
      </w:r>
    </w:p>
    <w:p>
      <w:pPr>
        <w:pStyle w:val="Heading2"/>
      </w:pPr>
      <w:r>
        <w:t>物理与数学背景</w:t>
      </w:r>
    </w:p>
    <w:p>
      <w:r>
        <w:t>PR EOS 伪势单组分格子 Boltzmann：D2Q9 格子、BGK 碰撞、EDM 精确差分伪势力，周期域。非理想 EOS p_EOS = ρRT/(1−bρ) − aρ²/(1+2bρ−b²ρ²) 经修正符号伪势 ψ² = 2(ρcs² − p_EOS)/cs² 引入。</w:t>
      </w:r>
    </w:p>
    <w:p>
      <w:r>
        <w:rPr>
          <w:rFonts w:ascii="Consolas" w:hAnsi="Consolas"/>
          <w:sz w:val="19"/>
        </w:rPr>
        <w:t>Young–Laplace（2D 圆柱液滴）：ΔP = σ/R_eff</w:t>
      </w:r>
    </w:p>
    <w:p>
      <w:r>
        <w:rPr>
          <w:rFonts w:ascii="Consolas" w:hAnsi="Consolas"/>
          <w:sz w:val="19"/>
        </w:rPr>
        <w:t>伪势与机械压：ψ² = 2(ρcs² − p_EOS(ρ; T))/cs²（clamp ≥ 0），p_mech = ρcs² − (G/2)cs²ψ²（G = +1 时 p_mech = p_EOS）</w:t>
      </w:r>
    </w:p>
    <w:p>
      <w:r>
        <w:rPr>
          <w:rFonts w:ascii="Consolas" w:hAnsi="Consolas"/>
          <w:sz w:val="19"/>
        </w:rPr>
        <w:t>PR EOS：p_EOS = ρRT/(1 − bρ) − aρ²/(1 + 2bρ − b²ρ²)，a = 2/49、b = 2/21、R = 1（YS2006 表）</w:t>
      </w:r>
    </w:p>
    <w:p>
      <w:r>
        <w:rPr>
          <w:rFonts w:ascii="Consolas" w:hAnsi="Consolas"/>
          <w:sz w:val="19"/>
        </w:rPr>
        <w:t>等面积半径：R_eff = √(Σ(ρ − ρ_v)/(π(ρ_l − ρ_v)))</w:t>
      </w:r>
    </w:p>
    <w:p>
      <w:r>
        <w:rPr>
          <w:rFonts w:ascii="Consolas" w:hAnsi="Consolas"/>
          <w:sz w:val="19"/>
        </w:rPr>
        <w:t>σ 提取：ΔP = σ·(1/R_eff) + b 的 LSQ 自由截距拟合（每档 4 半径）</w:t>
      </w:r>
    </w:p>
    <w:p>
      <w:r>
        <w:rPr>
          <w:rFonts w:ascii="Consolas" w:hAnsi="Consolas"/>
          <w:sz w:val="19"/>
        </w:rPr>
        <w:t>判据：clause_i 残差 RMS ≤ 3%·max(ΔP)；clause_ii |σ(L_hi) − σ(L_lo)| 跨三档非增</w:t>
      </w:r>
    </w:p>
    <w:p>
      <w:r>
        <w:t>参考解 — Young (1805) / Laplace (1806) 毛细静力学（ΔP = σ/R）。本基准不对任何文献 σ 值——σ 由模拟自身压差提取，判据为内禀一致性（线性 + 网格收敛）。等面积 Maxwell 构造锁值（ρ_l = 7.997836、ρ_v = 0.064905、p_sat 由档案携带）仅作初场输入。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Young T. (1805), An essay on the cohesion of fluids, Phil. Trans. R. Soc. 95, 65</w:t>
      </w:r>
    </w:p>
    <w:p>
      <w:pPr>
        <w:pStyle w:val="ListBullet"/>
      </w:pPr>
      <w:r>
        <w:t>Peng D.-Y., Robinson D. B. (1976), A new two-constant equation of state, Ind. Eng. Chem. Fundam. 15, 59</w:t>
      </w:r>
    </w:p>
    <w:p>
      <w:pPr>
        <w:pStyle w:val="ListBullet"/>
      </w:pPr>
      <w:r>
        <w:t>Yuan P., Schaefer L. (2006), Equations of state in a lattice Boltzmann model, Phys. Fluids 18, 042101（EOS 参数表）</w:t>
      </w:r>
    </w:p>
    <w:p>
      <w:pPr>
        <w:pStyle w:val="ListBullet"/>
      </w:pPr>
      <w:r>
        <w:t>Kupershtokh A. L. (2004); Li Q., Kang Q., Francoeur M. L., He Y. L. (2012)（EDM 精确差分力）</w:t>
      </w:r>
    </w:p>
    <w:p>
      <w:pPr>
        <w:pStyle w:val="Heading1"/>
      </w:pPr>
      <w:r>
        <w:t>2. 计算条件设置</w:t>
      </w:r>
    </w:p>
    <w:p>
      <w:r>
        <w:t>正式档计算条件取自入库 result.json 与 run.py 常量（程序化注入，下同）；EOS 参数 a/b/R 由库函数签名默认值程序化读取。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 EOS 高密度比伪势单组分静态液滴 Laplace 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周期 L×L 域中心圆形液滴弛豫到稳态，ΔP = ⟨p_mech⟩_core − ⟨p_mech⟩_far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EOS / 温度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PR（a=0.0408163、b=0.0952381、R=1），T = 0.04010547（T_r = 0.55，T_c = 0.07291904）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YS2006 参数表；a/b/R 取自库函数签名默认值（程序化）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伪势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修正符号 ψ² = 2(ρcs² − p_EOS)/cs²（clamp ≥ 0），G = +1.0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库后向 gather 约定下 G&gt;0 为吸引；p_mech = ρcs² − (G/2)cs²ψ² = p_EOS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力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forcing = edm（精确差分 EDM），τ = 1.0，float32，周期边界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collide_sc_single_component(forcing="edm") + stream（D2Q9）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初值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tanh 液滴（界面宽 4），ρ_l = 7.997836 / ρ_v = 0.064905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等面积 Maxwell 锁值（连续共存比 123.2，ρ_cross = 9.70818）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半径 / 域（主档）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 R = 12/16/20/24 @L=128 → R/L 保持缩放到 L = 128/192/256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主档 = 界面网格加密（判决）；副档 = 固定绝对 R 放大域（披露）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稳态判据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ρ_l/ρ_v 相对漂移 ≤ 1e-5（min 4000 / max 40000 步，采样 1000）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触发后取末 5 采样点均值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测量口径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= r ≤ 0.5·R_eff，far = r ≥ 0.80·L/2；R_eff = 等面积半径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两轮带定义精化，避开弥散界面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判据门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clause_i：逐 L 档 LSQ 残差 RMS ≤ 3%·max(Δp)；clause_ii：|σ(L_hi) − σ(L_lo)| 跨三档非增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需两条款同时成立（prereg §5(b) 冻结）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3：全量复现（主档 + 副档共 24 run；GPU 约 6 分钟量级，CPU 更慢）</w:t>
      </w:r>
    </w:p>
    <w:p>
      <w:r>
        <w:rPr>
          <w:rFonts w:ascii="Consolas" w:hAnsi="Consolas"/>
          <w:color w:val="1F4E79"/>
          <w:sz w:val="19"/>
        </w:rPr>
        <w:t>python benchmarks/verified/laplace_pr_eos/run.py --device cpu --out /tmp/laplace_pr_eos</w:t>
      </w:r>
    </w:p>
    <w:p>
      <w:r>
        <w:t>步骤 4：同上（GPU 档；入库 wall 合计 330 s）</w:t>
      </w:r>
    </w:p>
    <w:p>
      <w:r>
        <w:rPr>
          <w:rFonts w:ascii="Consolas" w:hAnsi="Consolas"/>
          <w:color w:val="1F4E79"/>
          <w:sz w:val="19"/>
        </w:rPr>
        <w:t>python benchmarks/verified/laplace_pr_eos/run.py --device cuda:0 --out /tmp/laplace_pr_eos</w:t>
      </w:r>
    </w:p>
    <w:p>
      <w:pPr>
        <w:pStyle w:val="Heading2"/>
      </w:pPr>
      <w:r>
        <w:t>场量可视化演示脚本</w:t>
      </w:r>
    </w:p>
    <w:p>
      <w:r>
        <w:t>场量可视化演示：与正式档同一组库入口（make_psi_eos + collide_sc_single_component(forcing="edm") + stream）、同一稳态判据与测量口径，完整复跑判决主档的 L=128 层级（R = 12/16/20/24，GPU 约 229 s）；输出终态密度/机械压力云图、中线剖面与四半径收敛史。演示档与入库 L=128 主档逐半径 dp/R_eff 数值一致（3/4 半径逐位相同，最大相对差 2.8e-05，构建时断言 ≤1e-4），σ(L=128) 演示档 0.320221 vs 入库 0.320226（差 0.002%）；正式档覆盖主/副 24 run 与 L = 192/256 档，这些数字一律取自入库扫描（缩短维度 = 只跑一个 L 层级）。</w:t>
      </w:r>
    </w:p>
    <w:p>
      <w:r>
        <w:rPr>
          <w:rFonts w:ascii="Consolas" w:hAnsi="Consolas"/>
          <w:sz w:val="19"/>
        </w:rPr>
        <w:t>python docs/benchmarks/demos/laplace_pr_eos_demo.py --radii 12,16,20,24 --L 128 --out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入库主档逐 L 档结果（R/L 保持 = 界面加密）+ 副档披露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L=128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L=192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L=256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σ（LSQ 斜率）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0.320226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0.326492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0.329422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判决主档（R/L 保持）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残差 RMS / max(ΔP)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0.0555%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0.0999%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0.0446%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clause_i 门 ≤ 3%（富余 ≥ 30×）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至下一档 |Δσ|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6.27e-03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2.93e-03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非增 → clause_ii 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副档 σ（披露）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0.320226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0.321775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0.332676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|Δσ| 递增（1.55e-03 → 1.09e-02）→ 域尺寸敏感，如实披露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副档残差（披露）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0.0555%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0.0562%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0.2376%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clause_i 仍全过</w:t>
            </w:r>
          </w:p>
        </w:tc>
      </w:tr>
    </w:tbl>
    <w:p/>
    <w:p>
      <w:r>
        <w:rPr>
          <w:i/>
        </w:rPr>
        <w:t>来源：benchmarks/verified/laplace_pr_eos/result.json verdict.primary / verdict.secondary（生成 2026-10-01，v1.1；clause_i = True、clause_ii = True、pass_both = True）。</w:t>
      </w:r>
    </w:p>
    <w:p>
      <w:r>
        <w:rPr>
          <w:b/>
        </w:rPr>
        <w:t>表 2 演示档 L=128 层级逐半径复跑（GPU，229 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半径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步数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R_eff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Δp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稳态 ρ 比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σ_i = Δp·R_eff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R=12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13.575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0.024088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0.326998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R=16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17.218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0.019129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438.5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0.329366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R=20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20.976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0.015764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467.1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0.330674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R=24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24.801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0.013418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488.7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0.332783</w:t>
            </w:r>
          </w:p>
        </w:tc>
      </w:tr>
    </w:tbl>
    <w:p/>
    <w:p>
      <w:r>
        <w:rPr>
          <w:i/>
        </w:rPr>
        <w:t>演示档与入库 L=128 主档四点半径 dp/R_eff 数值一致（3/4 半径逐位相同，最大相对差 2.8e-05）；LSQ 拟合 σ = 0.320221、残差 RMS/max(Δp) = 0.0551%，与入库 L=128 档（表 1 首列）同判。</w:t>
      </w:r>
    </w:p>
    <w:p>
      <w:r>
        <w:drawing>
          <wp:inline xmlns:a="http://schemas.openxmlformats.org/drawingml/2006/main" xmlns:pic="http://schemas.openxmlformats.org/drawingml/2006/picture">
            <wp:extent cx="5580000" cy="4362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6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 R=24 终态场量：左上=密度场（白线为中密度界面，液核 ρ ≈ 8.026、气相 ρ ≈ 0.0164，稳态密度比 ≈ 489:1）；右上=机械压力场（液内高压平台与气外低压之差即 Δp）；下=中线密度/压力剖面（tanh 弥散界面宽约 4 格）。</w:t>
      </w:r>
    </w:p>
    <w:p>
      <w:r>
        <w:drawing>
          <wp:inline xmlns:a="http://schemas.openxmlformats.org/drawingml/2006/main" xmlns:pic="http://schemas.openxmlformats.org/drawingml/2006/picture">
            <wp:extent cx="5580000" cy="21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dp_tr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演示档收敛史：左=Δp(t)（四半径均弛豫到稳定平台，半径越小压差越大——Laplace 律的直接视觉证据）；右=R_eff(t)（质量守恒下液滴自调平衡半径，稳态步数 8000–10000）。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3 判决条款与监视量（入库档，机器值）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clause_i（残差门）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三档全过（实测 0.0446%–0.0999%）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门 ≤ 3%·max(Δp)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clause_ii（|Δσ| 非增）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6.27e-03 → 2.93e-03 非增 → 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 = True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判决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pass_both = True（主档双条款）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 benchmarks/verified/laplace_pr_eos（result.json v1.1）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稳定性 / 质量守恒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24/24 stable；质量漂移率 max 7.83e-09/步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门 ≤ 5e-08/步（周期流迁）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ψ 定义域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clamp 触发 0/24（ρ_max &lt; ρ_cross = 9.70818）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修正符号伪势全程处于 EOS 定义域内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 ρ 比（披露列）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399.9 – 556.7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≥100 目标达成；Maxwell 连续锁值 123.2 仅作初场（离散共存漂移属预期）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伪速度（披露）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max|u| = 0.206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伪势模型已知特性（速度-平移格式质量指标），非误差源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确定性复核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L=128 主/副 4 对重跑逐位相同 =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同机同码确定性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冻结文本歧义处理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双读声明在出数之前，双跑、无事后选择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主档（gated）= R/L 保持；副档 = 域尺寸方向披露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817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lace_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Young–Laplace 线性检验：Δp vs 1/R_eff。入库主档三档（σ = 0.320226/0.326492/0.329422，实线为result.json 存档的 LSQ 拟合）；副档（灰，披露）在固定绝对R 下随域增大整体抬升；演示档 L=128 复跑（星标）落在入库主档 L=128 直线上。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ma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σ(L) 收敛判决：左=主档 |Δσ| = 6.27e-03 → 2.93e-03 非增（clause_ii 过）、副档 |Δσ| = 1.55e-03 → 1.09e-02 递增（域尺寸方向如实披露）；右=逐档 LSQ 残差 RMS/max(Δp)，主/副档全过 3% 门（对数轴）。</w:t>
      </w:r>
    </w:p>
    <w:p>
      <w:pPr>
        <w:pStyle w:val="ListBullet"/>
      </w:pPr>
      <w:r>
        <w:t>主档判决：clause_i 三档残差 0.0555%/0.0999%/0.0446%（门 3%，富余 30 倍以上）+ clause_ii 非增 → pass_both = True。σ 由 0.320226（L=128）收敛到 0.329422（L=256），界面加密方向收敛中的量级即该 EOS 参数点的 σ 数值（不对文献值）。</w:t>
      </w:r>
    </w:p>
    <w:p>
      <w:pPr>
        <w:pStyle w:val="ListBullet"/>
      </w:pPr>
      <w:r>
        <w:t>副档机制注记：固定液滴（R = 12–24）增大域时 σ 随 L 单调升高，说明该参数点 σ 对域尺寸仍敏感——界面加密收敛（主档）与域尺寸收敛是两个独立方向；这是域尺寸方向的披露而非判决失败（clause_i 在副档仍全过：0.0555%/0.0562%/0.2376%）。</w:t>
      </w:r>
    </w:p>
    <w:p>
      <w:pPr>
        <w:pStyle w:val="ListBullet"/>
      </w:pPr>
      <w:r>
        <w:t>高密度比实现要点：连续 Maxwell 锁值比 123.2 只是初场——格子离散使稳态自发漂移到 400–557:1 的离散共存（与 laplace_droplet 案的 12:1 同类现象）；全程 ρ_max &lt; ρ_cross = 9.70818，修正符号伪势的 clamp 分支零触发，机械压口径 p_mech = p_EOS 全程成立。</w:t>
      </w:r>
    </w:p>
    <w:p>
      <w:pPr>
        <w:pStyle w:val="ListBullet"/>
      </w:pPr>
      <w:r>
        <w:t>EDM 力与修正符号伪势同源入库（make_psi_eos 工厂 + collide_sc_single_component 的 opt-in forcing 参数；默认 "sc" 分支与补丁前逐位相同，由 tests/test_multiphase_psi_eos.py 锁定），既有旧符号psi_peng_robinson 保持向后兼容。</w:t>
      </w:r>
    </w:p>
    <w:p>
      <w:pPr>
        <w:pStyle w:val="ListBullet"/>
      </w:pPr>
      <w:r>
        <w:t>演示档口径：完整复跑主档 L=128 一个层级（4 run），正式档为主/副两读法 24 run；L=192/256 与副档数字一律取自入库 result.json（缩短维度 = L 层级覆盖）。伪速度 max|u| ≈ 0.204（入库同量级 0.206），伪势模型已知特性而非误差源。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benchmarks/verified/laplace_pr_eos/run.py --device cuda:0 --out /tmp/laplace_pr_eos</w:t>
      </w:r>
    </w:p>
    <w:p>
      <w:r>
        <w:t>预期结果 — 主档 σ = 0.320226 → 0.326492 → 0.329422（|Δσ| 6.27e-03 → 2.93e-03 非增），残差 RMS/max(Δp) ≤ 0.0999%；clause_i = True、clause_ii = True、pass_both = True；24/24 run 稳定</w:t>
      </w:r>
    </w:p>
    <w:p>
      <w:r>
        <w:t>参考耗时 — 入库实测合计 330 s（GPU 档，主+副 24 run）；演示档 L=128 层级 4 run GPU 229 s</w:t>
      </w:r>
    </w:p>
    <w:p>
      <w:r>
        <w:t>入库位置 — benchmarks/verified/laplace_pr_eos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