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b/>
          <w:bCs/>
          <w:sz w:val="32"/>
          <w:szCs w:val="32"/>
        </w:rPr>
        <w:t xml:space="preserve">Chain Potential Score (CPS): A Framework for Identifying Composable Vulnerability Chains in AI-Assisted Exploit Environments</w:t>
      </w:r>
    </w:p>
    <w:p>
      <w:pPr>
        <w:spacing w:after="120"/>
        <w:jc w:val="center"/>
      </w:pPr>
      <w:r>
        <w:rPr>
          <w:i/>
          <w:iCs/>
          <w:sz w:val="24"/>
          <w:szCs w:val="24"/>
        </w:rPr>
        <w:t xml:space="preserve">Research Brief for Checkmarx Zero Team</w:t>
      </w:r>
    </w:p>
    <w:p>
      <w:pPr>
        <w:spacing w:after="60"/>
        <w:jc w:val="center"/>
      </w:pPr>
      <w:r>
        <w:rPr>
          <w:sz w:val="22"/>
          <w:szCs w:val="22"/>
        </w:rPr>
        <w:t xml:space="preserve">Bhawani Singh — Independent Researcher</w:t>
      </w:r>
    </w:p>
    <w:p>
      <w:pPr>
        <w:spacing w:after="360"/>
        <w:jc w:val="center"/>
      </w:pPr>
      <w:r>
        <w:rPr>
          <w:color w:val="595959"/>
          <w:sz w:val="22"/>
          <w:szCs w:val="22"/>
        </w:rPr>
        <w:t xml:space="preserve">May 2026</w:t>
      </w:r>
    </w:p>
    <w:p>
      <w:pPr>
        <w:pStyle w:val="Heading1"/>
      </w:pPr>
      <w:r>
        <w:t xml:space="preserve">1. The Problem We Set Out to Solve</w:t>
      </w:r>
    </w:p>
    <w:p>
      <w:pPr>
        <w:spacing w:after="120" w:line="300"/>
        <w:jc w:val="both"/>
      </w:pPr>
      <w:r>
        <w:t xml:space="preserve">Modern application security programs are inundated with vulnerability findings. A single mid-size codebase routinely produces hundreds of SAST results, dozens of SCA advisories, and a long tail of Container Security and IaC findings. To make this manageable, teams triage by individual severity: Critical findings get attention, Highs queue behind them, and Lows are typically deprioritized or batched into hygiene work.</w:t>
      </w:r>
    </w:p>
    <w:p>
      <w:pPr>
        <w:spacing w:after="120" w:line="300"/>
        <w:jc w:val="both"/>
      </w:pPr>
      <w:r>
        <w:t xml:space="preserve">This severity-tier triage misses a specific class of risk: a Low-rated finding that, taken alone, is genuinely unactionable can become a critical compromise primitive when composed with other Low or Medium findings. The 2019 Capital One breach is the canonical example — no single finding in that chain warranted a Critical rating, but together they enabled multi-million-record data exfiltration.</w:t>
      </w:r>
    </w:p>
    <w:p>
      <w:pPr>
        <w:spacing w:after="120" w:line="300"/>
        <w:jc w:val="both"/>
      </w:pPr>
      <w:r>
        <w:t xml:space="preserve">Two pressures make this gap more urgent in 2026: </w:t>
      </w:r>
      <w:r>
        <w:rPr>
          <w:b/>
          <w:bCs/>
        </w:rPr>
        <w:t xml:space="preserve">(a) </w:t>
      </w:r>
      <w:r>
        <w:t xml:space="preserve">AI-assisted exploit synthesis lowers the cost of going from disclosed reconnaissance to working exploit from days to minutes, meaning Low-rated information disclosure findings now carry substantially more weight than their CVSS scores indicate; </w:t>
      </w:r>
      <w:r>
        <w:rPr>
          <w:b/>
          <w:bCs/>
        </w:rPr>
        <w:t xml:space="preserve">(b) </w:t>
      </w:r>
      <w:r>
        <w:t xml:space="preserve">advisory databases have been retroactively re-rating older Low CVEs upward across the npm, PyPI, Maven, and NuGet ecosystems, making the population of "strict-Low" findings smaller while the population of "effectively chainable Low" findings is growing.</w:t>
      </w:r>
    </w:p>
    <w:p>
      <w:pPr>
        <w:spacing w:after="120" w:line="300"/>
        <w:jc w:val="both"/>
      </w:pPr>
      <w:r>
        <w:t xml:space="preserve">Existing tooling addresses individual findings, not their composition. Reachability analysis tells us whether a single vulnerable function is callable, not whether five Low findings together compose into a critical exploit. The Chain Potential Score (CPS) framework attempts to fill that gap.</w:t>
      </w:r>
    </w:p>
    <w:p>
      <w:pPr>
        <w:pStyle w:val="Heading1"/>
      </w:pPr>
      <w:r>
        <w:t xml:space="preserve">2. The CPS Framework</w:t>
      </w:r>
    </w:p>
    <w:p>
      <w:pPr>
        <w:spacing w:after="120" w:line="300"/>
        <w:jc w:val="both"/>
      </w:pPr>
      <w:r>
        <w:t xml:space="preserve">CPS scores each finding on five dimensions, normalizes to a 0–10 scale, and aggregates findings that compose into a chain. The five dimensions are designed to be orthogonal — each captures a property of the finding that severity ratings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tcPr>
          <w:p>
            <w:r>
              <w:rPr>
                <w:b/>
                <w:bCs/>
              </w:rPr>
              <w:t xml:space="preserve">Dimension</w:t>
            </w:r>
          </w:p>
        </w:tc>
        <w:tc>
          <w:tcPr>
            <w:tcW w:type="dxa" w:w="12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tcPr>
          <w:p>
            <w:r>
              <w:rPr>
                <w:b/>
                <w:bCs/>
              </w:rPr>
              <w:t xml:space="preserve">Weight</w:t>
            </w:r>
          </w:p>
        </w:tc>
        <w:tc>
          <w:tcPr>
            <w:tcW w:type="dxa" w:w="61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tcPr>
          <w:p>
            <w:r>
              <w:rPr>
                <w:b/>
                <w:bCs/>
              </w:rPr>
              <w:t xml:space="preserve">What it captures</w:t>
            </w:r>
          </w:p>
        </w:tc>
      </w:tr>
      <w:tr>
        <w:tc>
          <w:tcPr>
            <w:tcW w:type="dxa" w:w="2000"/>
            <w:tcBorders>
              <w:top w:val="single" w:color="BFBFBF" w:sz="6"/>
              <w:left w:val="single" w:color="BFBFBF" w:sz="6"/>
              <w:bottom w:val="single" w:color="BFBFBF" w:sz="6"/>
              <w:right w:val="single" w:color="BFBFBF" w:sz="6"/>
            </w:tcBorders>
            <w:tcMar>
              <w:top w:type="dxa" w:w="100"/>
              <w:left w:type="dxa" w:w="120"/>
              <w:bottom w:type="dxa" w:w="100"/>
              <w:right w:type="dxa" w:w="120"/>
            </w:tcMar>
          </w:tcPr>
          <w:p>
            <w:r>
              <w:t xml:space="preserve">Prevalence</w:t>
            </w:r>
          </w:p>
        </w:tc>
        <w:tc>
          <w:tcPr>
            <w:tcW w:type="dxa" w:w="1200"/>
            <w:tcBorders>
              <w:top w:val="single" w:color="BFBFBF" w:sz="6"/>
              <w:left w:val="single" w:color="BFBFBF" w:sz="6"/>
              <w:bottom w:val="single" w:color="BFBFBF" w:sz="6"/>
              <w:right w:val="single" w:color="BFBFBF" w:sz="6"/>
            </w:tcBorders>
            <w:tcMar>
              <w:top w:type="dxa" w:w="100"/>
              <w:left w:type="dxa" w:w="120"/>
              <w:bottom w:type="dxa" w:w="100"/>
              <w:right w:type="dxa" w:w="120"/>
            </w:tcMar>
          </w:tcPr>
          <w:p>
            <w:r>
              <w:t xml:space="preserve">0.15</w:t>
            </w:r>
          </w:p>
        </w:tc>
        <w:tc>
          <w:tcPr>
            <w:tcW w:type="dxa" w:w="6160"/>
            <w:tcBorders>
              <w:top w:val="single" w:color="BFBFBF" w:sz="6"/>
              <w:left w:val="single" w:color="BFBFBF" w:sz="6"/>
              <w:bottom w:val="single" w:color="BFBFBF" w:sz="6"/>
              <w:right w:val="single" w:color="BFBFBF" w:sz="6"/>
            </w:tcBorders>
            <w:tcMar>
              <w:top w:type="dxa" w:w="100"/>
              <w:left w:type="dxa" w:w="120"/>
              <w:bottom w:type="dxa" w:w="100"/>
              <w:right w:type="dxa" w:w="120"/>
            </w:tcMar>
          </w:tcPr>
          <w:p>
            <w:r>
              <w:t xml:space="preserve">How common this finding class is in production codebases. Used as a base rate.</w:t>
            </w:r>
          </w:p>
        </w:tc>
      </w:tr>
      <w:tr>
        <w:tc>
          <w:tcPr>
            <w:tcW w:type="dxa" w:w="2000"/>
            <w:tcBorders>
              <w:top w:val="single" w:color="BFBFBF" w:sz="6"/>
              <w:left w:val="single" w:color="BFBFBF" w:sz="6"/>
              <w:bottom w:val="single" w:color="BFBFBF" w:sz="6"/>
              <w:right w:val="single" w:color="BFBFBF" w:sz="6"/>
            </w:tcBorders>
            <w:tcMar>
              <w:top w:type="dxa" w:w="100"/>
              <w:left w:type="dxa" w:w="120"/>
              <w:bottom w:type="dxa" w:w="100"/>
              <w:right w:type="dxa" w:w="120"/>
            </w:tcMar>
          </w:tcPr>
          <w:p>
            <w:r>
              <w:t xml:space="preserve">Chain Utility</w:t>
            </w:r>
          </w:p>
        </w:tc>
        <w:tc>
          <w:tcPr>
            <w:tcW w:type="dxa" w:w="1200"/>
            <w:tcBorders>
              <w:top w:val="single" w:color="BFBFBF" w:sz="6"/>
              <w:left w:val="single" w:color="BFBFBF" w:sz="6"/>
              <w:bottom w:val="single" w:color="BFBFBF" w:sz="6"/>
              <w:right w:val="single" w:color="BFBFBF" w:sz="6"/>
            </w:tcBorders>
            <w:tcMar>
              <w:top w:type="dxa" w:w="100"/>
              <w:left w:type="dxa" w:w="120"/>
              <w:bottom w:type="dxa" w:w="100"/>
              <w:right w:type="dxa" w:w="120"/>
            </w:tcMar>
          </w:tcPr>
          <w:p>
            <w:r>
              <w:t xml:space="preserve">0.30</w:t>
            </w:r>
          </w:p>
        </w:tc>
        <w:tc>
          <w:tcPr>
            <w:tcW w:type="dxa" w:w="6160"/>
            <w:tcBorders>
              <w:top w:val="single" w:color="BFBFBF" w:sz="6"/>
              <w:left w:val="single" w:color="BFBFBF" w:sz="6"/>
              <w:bottom w:val="single" w:color="BFBFBF" w:sz="6"/>
              <w:right w:val="single" w:color="BFBFBF" w:sz="6"/>
            </w:tcBorders>
            <w:tcMar>
              <w:top w:type="dxa" w:w="100"/>
              <w:left w:type="dxa" w:w="120"/>
              <w:bottom w:type="dxa" w:w="100"/>
              <w:right w:type="dxa" w:w="120"/>
            </w:tcMar>
          </w:tcPr>
          <w:p>
            <w:r>
              <w:t xml:space="preserve">How well this finding composes with other findings. The highest-weighted dimension.</w:t>
            </w:r>
          </w:p>
        </w:tc>
      </w:tr>
      <w:tr>
        <w:tc>
          <w:tcPr>
            <w:tcW w:type="dxa" w:w="2000"/>
            <w:tcBorders>
              <w:top w:val="single" w:color="BFBFBF" w:sz="6"/>
              <w:left w:val="single" w:color="BFBFBF" w:sz="6"/>
              <w:bottom w:val="single" w:color="BFBFBF" w:sz="6"/>
              <w:right w:val="single" w:color="BFBFBF" w:sz="6"/>
            </w:tcBorders>
            <w:tcMar>
              <w:top w:type="dxa" w:w="100"/>
              <w:left w:type="dxa" w:w="120"/>
              <w:bottom w:type="dxa" w:w="100"/>
              <w:right w:type="dxa" w:w="120"/>
            </w:tcMar>
          </w:tcPr>
          <w:p>
            <w:r>
              <w:t xml:space="preserve">AI Leverage</w:t>
            </w:r>
          </w:p>
        </w:tc>
        <w:tc>
          <w:tcPr>
            <w:tcW w:type="dxa" w:w="1200"/>
            <w:tcBorders>
              <w:top w:val="single" w:color="BFBFBF" w:sz="6"/>
              <w:left w:val="single" w:color="BFBFBF" w:sz="6"/>
              <w:bottom w:val="single" w:color="BFBFBF" w:sz="6"/>
              <w:right w:val="single" w:color="BFBFBF" w:sz="6"/>
            </w:tcBorders>
            <w:tcMar>
              <w:top w:type="dxa" w:w="100"/>
              <w:left w:type="dxa" w:w="120"/>
              <w:bottom w:type="dxa" w:w="100"/>
              <w:right w:type="dxa" w:w="120"/>
            </w:tcMar>
          </w:tcPr>
          <w:p>
            <w:r>
              <w:t xml:space="preserve">0.25</w:t>
            </w:r>
          </w:p>
        </w:tc>
        <w:tc>
          <w:tcPr>
            <w:tcW w:type="dxa" w:w="6160"/>
            <w:tcBorders>
              <w:top w:val="single" w:color="BFBFBF" w:sz="6"/>
              <w:left w:val="single" w:color="BFBFBF" w:sz="6"/>
              <w:bottom w:val="single" w:color="BFBFBF" w:sz="6"/>
              <w:right w:val="single" w:color="BFBFBF" w:sz="6"/>
            </w:tcBorders>
            <w:tcMar>
              <w:top w:type="dxa" w:w="100"/>
              <w:left w:type="dxa" w:w="120"/>
              <w:bottom w:type="dxa" w:w="100"/>
              <w:right w:type="dxa" w:w="120"/>
            </w:tcMar>
          </w:tcPr>
          <w:p>
            <w:r>
              <w:t xml:space="preserve">How much an AI agent reduces the cost of weaponizing this finding.</w:t>
            </w:r>
          </w:p>
        </w:tc>
      </w:tr>
      <w:tr>
        <w:tc>
          <w:tcPr>
            <w:tcW w:type="dxa" w:w="2000"/>
            <w:tcBorders>
              <w:top w:val="single" w:color="BFBFBF" w:sz="6"/>
              <w:left w:val="single" w:color="BFBFBF" w:sz="6"/>
              <w:bottom w:val="single" w:color="BFBFBF" w:sz="6"/>
              <w:right w:val="single" w:color="BFBFBF" w:sz="6"/>
            </w:tcBorders>
            <w:tcMar>
              <w:top w:type="dxa" w:w="100"/>
              <w:left w:type="dxa" w:w="120"/>
              <w:bottom w:type="dxa" w:w="100"/>
              <w:right w:type="dxa" w:w="120"/>
            </w:tcMar>
          </w:tcPr>
          <w:p>
            <w:r>
              <w:t xml:space="preserve">Blast Radius</w:t>
            </w:r>
          </w:p>
        </w:tc>
        <w:tc>
          <w:tcPr>
            <w:tcW w:type="dxa" w:w="1200"/>
            <w:tcBorders>
              <w:top w:val="single" w:color="BFBFBF" w:sz="6"/>
              <w:left w:val="single" w:color="BFBFBF" w:sz="6"/>
              <w:bottom w:val="single" w:color="BFBFBF" w:sz="6"/>
              <w:right w:val="single" w:color="BFBFBF" w:sz="6"/>
            </w:tcBorders>
            <w:tcMar>
              <w:top w:type="dxa" w:w="100"/>
              <w:left w:type="dxa" w:w="120"/>
              <w:bottom w:type="dxa" w:w="100"/>
              <w:right w:type="dxa" w:w="120"/>
            </w:tcMar>
          </w:tcPr>
          <w:p>
            <w:r>
              <w:t xml:space="preserve">0.15</w:t>
            </w:r>
          </w:p>
        </w:tc>
        <w:tc>
          <w:tcPr>
            <w:tcW w:type="dxa" w:w="6160"/>
            <w:tcBorders>
              <w:top w:val="single" w:color="BFBFBF" w:sz="6"/>
              <w:left w:val="single" w:color="BFBFBF" w:sz="6"/>
              <w:bottom w:val="single" w:color="BFBFBF" w:sz="6"/>
              <w:right w:val="single" w:color="BFBFBF" w:sz="6"/>
            </w:tcBorders>
            <w:tcMar>
              <w:top w:type="dxa" w:w="100"/>
              <w:left w:type="dxa" w:w="120"/>
              <w:bottom w:type="dxa" w:w="100"/>
              <w:right w:type="dxa" w:w="120"/>
            </w:tcMar>
          </w:tcPr>
          <w:p>
            <w:r>
              <w:t xml:space="preserve">How far the exploit reaches once the finding is exercised.</w:t>
            </w:r>
          </w:p>
        </w:tc>
      </w:tr>
      <w:tr>
        <w:tc>
          <w:tcPr>
            <w:tcW w:type="dxa" w:w="2000"/>
            <w:tcBorders>
              <w:top w:val="single" w:color="BFBFBF" w:sz="6"/>
              <w:left w:val="single" w:color="BFBFBF" w:sz="6"/>
              <w:bottom w:val="single" w:color="BFBFBF" w:sz="6"/>
              <w:right w:val="single" w:color="BFBFBF" w:sz="6"/>
            </w:tcBorders>
            <w:tcMar>
              <w:top w:type="dxa" w:w="100"/>
              <w:left w:type="dxa" w:w="120"/>
              <w:bottom w:type="dxa" w:w="100"/>
              <w:right w:type="dxa" w:w="120"/>
            </w:tcMar>
          </w:tcPr>
          <w:p>
            <w:r>
              <w:t xml:space="preserve">Impact Proximity</w:t>
            </w:r>
          </w:p>
        </w:tc>
        <w:tc>
          <w:tcPr>
            <w:tcW w:type="dxa" w:w="1200"/>
            <w:tcBorders>
              <w:top w:val="single" w:color="BFBFBF" w:sz="6"/>
              <w:left w:val="single" w:color="BFBFBF" w:sz="6"/>
              <w:bottom w:val="single" w:color="BFBFBF" w:sz="6"/>
              <w:right w:val="single" w:color="BFBFBF" w:sz="6"/>
            </w:tcBorders>
            <w:tcMar>
              <w:top w:type="dxa" w:w="100"/>
              <w:left w:type="dxa" w:w="120"/>
              <w:bottom w:type="dxa" w:w="100"/>
              <w:right w:type="dxa" w:w="120"/>
            </w:tcMar>
          </w:tcPr>
          <w:p>
            <w:r>
              <w:t xml:space="preserve">0.15</w:t>
            </w:r>
          </w:p>
        </w:tc>
        <w:tc>
          <w:tcPr>
            <w:tcW w:type="dxa" w:w="6160"/>
            <w:tcBorders>
              <w:top w:val="single" w:color="BFBFBF" w:sz="6"/>
              <w:left w:val="single" w:color="BFBFBF" w:sz="6"/>
              <w:bottom w:val="single" w:color="BFBFBF" w:sz="6"/>
              <w:right w:val="single" w:color="BFBFBF" w:sz="6"/>
            </w:tcBorders>
            <w:tcMar>
              <w:top w:type="dxa" w:w="100"/>
              <w:left w:type="dxa" w:w="120"/>
              <w:bottom w:type="dxa" w:w="100"/>
              <w:right w:type="dxa" w:w="120"/>
            </w:tcMar>
          </w:tcPr>
          <w:p>
            <w:r>
              <w:t xml:space="preserve">How close this finding sits to the terminal compromise outcome.</w:t>
            </w:r>
          </w:p>
        </w:tc>
      </w:tr>
    </w:tbl>
    <w:p>
      <w:pPr>
        <w:spacing w:after="120" w:line="300"/>
        <w:jc w:val="both"/>
      </w:pPr>
      <w:r>
        <w:t xml:space="preserve"/>
      </w:r>
    </w:p>
    <w:p>
      <w:pPr>
        <w:spacing w:after="120" w:line="300"/>
        <w:jc w:val="both"/>
      </w:pPr>
      <w:r>
        <w:t xml:space="preserve">Each dimension is scored 0–4 from the catalog. Per-finding CPS is computed as (10/4) × weighted sum, producing a band assignment: 0–2.5 Negligible, 2.6–5.0 Low, 5.1–7.5 Moderate, 7.6–10.0 High.</w:t>
      </w:r>
    </w:p>
    <w:p>
      <w:pPr>
        <w:spacing w:after="120" w:line="300"/>
        <w:jc w:val="both"/>
      </w:pPr>
      <w:r>
        <w:t xml:space="preserve">Chains aggregate via a deliberately simple formula. Chain CPS = max(individual_scores) + 0.1 × sum(remaining_scores), capped at 10.0. The leader finding dominates; subordinate findings amplify the leader's score. The chain catalog declares which findings compose, with each finding tagged by chain role: L1 Signal (reconnaissance primitive), L2 Bridge (chain glue), or L3 Amplifier (blast-radius extender).</w:t>
      </w:r>
    </w:p>
    <w:p>
      <w:pPr>
        <w:pStyle w:val="Heading1"/>
      </w:pPr>
      <w:r>
        <w:t xml:space="preserve">3. Worked Example: Cloud-Metadata Reach Chain (CH-001)</w:t>
      </w:r>
    </w:p>
    <w:p>
      <w:pPr>
        <w:spacing w:after="120" w:line="300"/>
        <w:jc w:val="both"/>
      </w:pPr>
      <w:r>
        <w:t xml:space="preserve">The framework's first validation case is structurally a 2019 Capital One pattern. A Flask application running on AWS EC2 holds session state in a way that allows a trust-boundary violation, the EC2 instance is configured with IMDSv1 (no token requirement), and the IAM policy allows operations that, together with metadata service access, enable data exfiltration. Each finding in this chain rates Low or High individually in our test Checkmarx One tenant; no single finding rates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5260"/>
        <w:gridCol w:w="1200"/>
        <w:gridCol w:w="1400"/>
      </w:tblGrid>
      <w:tr>
        <w:tc>
          <w:tcPr>
            <w:tcW w:type="dxa" w:w="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tcPr>
          <w:p>
            <w:r>
              <w:rPr>
                <w:b/>
                <w:bCs/>
              </w:rPr>
              <w:t xml:space="preserve">#</w:t>
            </w:r>
          </w:p>
        </w:tc>
        <w:tc>
          <w:tcPr>
            <w:tcW w:type="dxa" w:w="9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tcPr>
          <w:p>
            <w:r>
              <w:rPr>
                <w:b/>
                <w:bCs/>
              </w:rPr>
              <w:t xml:space="preserve">Engine</w:t>
            </w:r>
          </w:p>
        </w:tc>
        <w:tc>
          <w:tcPr>
            <w:tcW w:type="dxa" w:w="52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tcPr>
          <w:p>
            <w:r>
              <w:rPr>
                <w:b/>
                <w:bCs/>
              </w:rPr>
              <w:t xml:space="preserve">Finding</w:t>
            </w:r>
          </w:p>
        </w:tc>
        <w:tc>
          <w:tcPr>
            <w:tcW w:type="dxa" w:w="12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tcPr>
          <w:p>
            <w:r>
              <w:rPr>
                <w:b/>
                <w:bCs/>
              </w:rPr>
              <w:t xml:space="preserve">Severity</w:t>
            </w:r>
          </w:p>
        </w:tc>
        <w:tc>
          <w:tcPr>
            <w:tcW w:type="dxa" w:w="14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tcPr>
          <w:p>
            <w:r>
              <w:rPr>
                <w:b/>
                <w:bCs/>
              </w:rPr>
              <w:t xml:space="preserve">Role</w:t>
            </w:r>
          </w:p>
        </w:tc>
      </w:tr>
      <w:tr>
        <w:tc>
          <w:tcPr>
            <w:tcW w:type="dxa" w:w="600"/>
            <w:tcBorders>
              <w:top w:val="single" w:color="BFBFBF" w:sz="6"/>
              <w:left w:val="single" w:color="BFBFBF" w:sz="6"/>
              <w:bottom w:val="single" w:color="BFBFBF" w:sz="6"/>
              <w:right w:val="single" w:color="BFBFBF" w:sz="6"/>
            </w:tcBorders>
            <w:tcMar>
              <w:top w:type="dxa" w:w="100"/>
              <w:left w:type="dxa" w:w="120"/>
              <w:bottom w:type="dxa" w:w="100"/>
              <w:right w:type="dxa" w:w="120"/>
            </w:tcMar>
          </w:tcPr>
          <w:p>
            <w:r>
              <w:t xml:space="preserve">F1</w:t>
            </w:r>
          </w:p>
        </w:tc>
        <w:tc>
          <w:tcPr>
            <w:tcW w:type="dxa" w:w="900"/>
            <w:tcBorders>
              <w:top w:val="single" w:color="BFBFBF" w:sz="6"/>
              <w:left w:val="single" w:color="BFBFBF" w:sz="6"/>
              <w:bottom w:val="single" w:color="BFBFBF" w:sz="6"/>
              <w:right w:val="single" w:color="BFBFBF" w:sz="6"/>
            </w:tcBorders>
            <w:tcMar>
              <w:top w:type="dxa" w:w="100"/>
              <w:left w:type="dxa" w:w="120"/>
              <w:bottom w:type="dxa" w:w="100"/>
              <w:right w:type="dxa" w:w="120"/>
            </w:tcMar>
          </w:tcPr>
          <w:p>
            <w:r>
              <w:t xml:space="preserve">SAST</w:t>
            </w:r>
          </w:p>
        </w:tc>
        <w:tc>
          <w:tcPr>
            <w:tcW w:type="dxa" w:w="5260"/>
            <w:tcBorders>
              <w:top w:val="single" w:color="BFBFBF" w:sz="6"/>
              <w:left w:val="single" w:color="BFBFBF" w:sz="6"/>
              <w:bottom w:val="single" w:color="BFBFBF" w:sz="6"/>
              <w:right w:val="single" w:color="BFBFBF" w:sz="6"/>
            </w:tcBorders>
            <w:tcMar>
              <w:top w:type="dxa" w:w="100"/>
              <w:left w:type="dxa" w:w="120"/>
              <w:bottom w:type="dxa" w:w="100"/>
              <w:right w:type="dxa" w:w="120"/>
            </w:tcMar>
          </w:tcPr>
          <w:p>
            <w:r>
              <w:t xml:space="preserve">Trust_Boundary_Violation_in_Session_Variables (×5 sites)</w:t>
            </w:r>
          </w:p>
        </w:tc>
        <w:tc>
          <w:tcPr>
            <w:tcW w:type="dxa" w:w="1200"/>
            <w:tcBorders>
              <w:top w:val="single" w:color="BFBFBF" w:sz="6"/>
              <w:left w:val="single" w:color="BFBFBF" w:sz="6"/>
              <w:bottom w:val="single" w:color="BFBFBF" w:sz="6"/>
              <w:right w:val="single" w:color="BFBFBF" w:sz="6"/>
            </w:tcBorders>
            <w:tcMar>
              <w:top w:type="dxa" w:w="100"/>
              <w:left w:type="dxa" w:w="120"/>
              <w:bottom w:type="dxa" w:w="100"/>
              <w:right w:type="dxa" w:w="120"/>
            </w:tcMar>
          </w:tcPr>
          <w:p>
            <w:r>
              <w:t xml:space="preserve">Low</w:t>
            </w:r>
          </w:p>
        </w:tc>
        <w:tc>
          <w:tcPr>
            <w:tcW w:type="dxa" w:w="1400"/>
            <w:tcBorders>
              <w:top w:val="single" w:color="BFBFBF" w:sz="6"/>
              <w:left w:val="single" w:color="BFBFBF" w:sz="6"/>
              <w:bottom w:val="single" w:color="BFBFBF" w:sz="6"/>
              <w:right w:val="single" w:color="BFBFBF" w:sz="6"/>
            </w:tcBorders>
            <w:tcMar>
              <w:top w:type="dxa" w:w="100"/>
              <w:left w:type="dxa" w:w="120"/>
              <w:bottom w:type="dxa" w:w="100"/>
              <w:right w:type="dxa" w:w="120"/>
            </w:tcMar>
          </w:tcPr>
          <w:p>
            <w:r>
              <w:t xml:space="preserve">L2 Bridge</w:t>
            </w:r>
          </w:p>
        </w:tc>
      </w:tr>
      <w:tr>
        <w:tc>
          <w:tcPr>
            <w:tcW w:type="dxa" w:w="600"/>
            <w:tcBorders>
              <w:top w:val="single" w:color="BFBFBF" w:sz="6"/>
              <w:left w:val="single" w:color="BFBFBF" w:sz="6"/>
              <w:bottom w:val="single" w:color="BFBFBF" w:sz="6"/>
              <w:right w:val="single" w:color="BFBFBF" w:sz="6"/>
            </w:tcBorders>
            <w:tcMar>
              <w:top w:type="dxa" w:w="100"/>
              <w:left w:type="dxa" w:w="120"/>
              <w:bottom w:type="dxa" w:w="100"/>
              <w:right w:type="dxa" w:w="120"/>
            </w:tcMar>
          </w:tcPr>
          <w:p>
            <w:r>
              <w:t xml:space="preserve">F2</w:t>
            </w:r>
          </w:p>
        </w:tc>
        <w:tc>
          <w:tcPr>
            <w:tcW w:type="dxa" w:w="900"/>
            <w:tcBorders>
              <w:top w:val="single" w:color="BFBFBF" w:sz="6"/>
              <w:left w:val="single" w:color="BFBFBF" w:sz="6"/>
              <w:bottom w:val="single" w:color="BFBFBF" w:sz="6"/>
              <w:right w:val="single" w:color="BFBFBF" w:sz="6"/>
            </w:tcBorders>
            <w:tcMar>
              <w:top w:type="dxa" w:w="100"/>
              <w:left w:type="dxa" w:w="120"/>
              <w:bottom w:type="dxa" w:w="100"/>
              <w:right w:type="dxa" w:w="120"/>
            </w:tcMar>
          </w:tcPr>
          <w:p>
            <w:r>
              <w:t xml:space="preserve">IaC</w:t>
            </w:r>
          </w:p>
        </w:tc>
        <w:tc>
          <w:tcPr>
            <w:tcW w:type="dxa" w:w="5260"/>
            <w:tcBorders>
              <w:top w:val="single" w:color="BFBFBF" w:sz="6"/>
              <w:left w:val="single" w:color="BFBFBF" w:sz="6"/>
              <w:bottom w:val="single" w:color="BFBFBF" w:sz="6"/>
              <w:right w:val="single" w:color="BFBFBF" w:sz="6"/>
            </w:tcBorders>
            <w:tcMar>
              <w:top w:type="dxa" w:w="100"/>
              <w:left w:type="dxa" w:w="120"/>
              <w:bottom w:type="dxa" w:w="100"/>
              <w:right w:type="dxa" w:w="120"/>
            </w:tcMar>
          </w:tcPr>
          <w:p>
            <w:r>
              <w:t xml:space="preserve">Instance Uses Metadata Service IMDSv1</w:t>
            </w:r>
          </w:p>
        </w:tc>
        <w:tc>
          <w:tcPr>
            <w:tcW w:type="dxa" w:w="1200"/>
            <w:tcBorders>
              <w:top w:val="single" w:color="BFBFBF" w:sz="6"/>
              <w:left w:val="single" w:color="BFBFBF" w:sz="6"/>
              <w:bottom w:val="single" w:color="BFBFBF" w:sz="6"/>
              <w:right w:val="single" w:color="BFBFBF" w:sz="6"/>
            </w:tcBorders>
            <w:tcMar>
              <w:top w:type="dxa" w:w="100"/>
              <w:left w:type="dxa" w:w="120"/>
              <w:bottom w:type="dxa" w:w="100"/>
              <w:right w:type="dxa" w:w="120"/>
            </w:tcMar>
          </w:tcPr>
          <w:p>
            <w:r>
              <w:t xml:space="preserve">Low</w:t>
            </w:r>
          </w:p>
        </w:tc>
        <w:tc>
          <w:tcPr>
            <w:tcW w:type="dxa" w:w="1400"/>
            <w:tcBorders>
              <w:top w:val="single" w:color="BFBFBF" w:sz="6"/>
              <w:left w:val="single" w:color="BFBFBF" w:sz="6"/>
              <w:bottom w:val="single" w:color="BFBFBF" w:sz="6"/>
              <w:right w:val="single" w:color="BFBFBF" w:sz="6"/>
            </w:tcBorders>
            <w:tcMar>
              <w:top w:type="dxa" w:w="100"/>
              <w:left w:type="dxa" w:w="120"/>
              <w:bottom w:type="dxa" w:w="100"/>
              <w:right w:type="dxa" w:w="120"/>
            </w:tcMar>
          </w:tcPr>
          <w:p>
            <w:r>
              <w:t xml:space="preserve">L2 Bridge</w:t>
            </w:r>
          </w:p>
        </w:tc>
      </w:tr>
      <w:tr>
        <w:tc>
          <w:tcPr>
            <w:tcW w:type="dxa" w:w="600"/>
            <w:tcBorders>
              <w:top w:val="single" w:color="BFBFBF" w:sz="6"/>
              <w:left w:val="single" w:color="BFBFBF" w:sz="6"/>
              <w:bottom w:val="single" w:color="BFBFBF" w:sz="6"/>
              <w:right w:val="single" w:color="BFBFBF" w:sz="6"/>
            </w:tcBorders>
            <w:tcMar>
              <w:top w:type="dxa" w:w="100"/>
              <w:left w:type="dxa" w:w="120"/>
              <w:bottom w:type="dxa" w:w="100"/>
              <w:right w:type="dxa" w:w="120"/>
            </w:tcMar>
          </w:tcPr>
          <w:p>
            <w:r>
              <w:t xml:space="preserve">F3</w:t>
            </w:r>
          </w:p>
        </w:tc>
        <w:tc>
          <w:tcPr>
            <w:tcW w:type="dxa" w:w="900"/>
            <w:tcBorders>
              <w:top w:val="single" w:color="BFBFBF" w:sz="6"/>
              <w:left w:val="single" w:color="BFBFBF" w:sz="6"/>
              <w:bottom w:val="single" w:color="BFBFBF" w:sz="6"/>
              <w:right w:val="single" w:color="BFBFBF" w:sz="6"/>
            </w:tcBorders>
            <w:tcMar>
              <w:top w:type="dxa" w:w="100"/>
              <w:left w:type="dxa" w:w="120"/>
              <w:bottom w:type="dxa" w:w="100"/>
              <w:right w:type="dxa" w:w="120"/>
            </w:tcMar>
          </w:tcPr>
          <w:p>
            <w:r>
              <w:t xml:space="preserve">IaC</w:t>
            </w:r>
          </w:p>
        </w:tc>
        <w:tc>
          <w:tcPr>
            <w:tcW w:type="dxa" w:w="5260"/>
            <w:tcBorders>
              <w:top w:val="single" w:color="BFBFBF" w:sz="6"/>
              <w:left w:val="single" w:color="BFBFBF" w:sz="6"/>
              <w:bottom w:val="single" w:color="BFBFBF" w:sz="6"/>
              <w:right w:val="single" w:color="BFBFBF" w:sz="6"/>
            </w:tcBorders>
            <w:tcMar>
              <w:top w:type="dxa" w:w="100"/>
              <w:left w:type="dxa" w:w="120"/>
              <w:bottom w:type="dxa" w:w="100"/>
              <w:right w:type="dxa" w:w="120"/>
            </w:tcMar>
          </w:tcPr>
          <w:p>
            <w:r>
              <w:t xml:space="preserve">IAM policy allows for data exfiltration</w:t>
            </w:r>
          </w:p>
        </w:tc>
        <w:tc>
          <w:tcPr>
            <w:tcW w:type="dxa" w:w="1200"/>
            <w:tcBorders>
              <w:top w:val="single" w:color="BFBFBF" w:sz="6"/>
              <w:left w:val="single" w:color="BFBFBF" w:sz="6"/>
              <w:bottom w:val="single" w:color="BFBFBF" w:sz="6"/>
              <w:right w:val="single" w:color="BFBFBF" w:sz="6"/>
            </w:tcBorders>
            <w:tcMar>
              <w:top w:type="dxa" w:w="100"/>
              <w:left w:type="dxa" w:w="120"/>
              <w:bottom w:type="dxa" w:w="100"/>
              <w:right w:type="dxa" w:w="120"/>
            </w:tcMar>
          </w:tcPr>
          <w:p>
            <w:r>
              <w:t xml:space="preserve">High</w:t>
            </w:r>
          </w:p>
        </w:tc>
        <w:tc>
          <w:tcPr>
            <w:tcW w:type="dxa" w:w="1400"/>
            <w:tcBorders>
              <w:top w:val="single" w:color="BFBFBF" w:sz="6"/>
              <w:left w:val="single" w:color="BFBFBF" w:sz="6"/>
              <w:bottom w:val="single" w:color="BFBFBF" w:sz="6"/>
              <w:right w:val="single" w:color="BFBFBF" w:sz="6"/>
            </w:tcBorders>
            <w:tcMar>
              <w:top w:type="dxa" w:w="100"/>
              <w:left w:type="dxa" w:w="120"/>
              <w:bottom w:type="dxa" w:w="100"/>
              <w:right w:type="dxa" w:w="120"/>
            </w:tcMar>
          </w:tcPr>
          <w:p>
            <w:r>
              <w:t xml:space="preserve">L3 Amplifier</w:t>
            </w:r>
          </w:p>
        </w:tc>
      </w:tr>
      <w:tr>
        <w:tc>
          <w:tcPr>
            <w:tcW w:type="dxa" w:w="600"/>
            <w:tcBorders>
              <w:top w:val="single" w:color="BFBFBF" w:sz="6"/>
              <w:left w:val="single" w:color="BFBFBF" w:sz="6"/>
              <w:bottom w:val="single" w:color="BFBFBF" w:sz="6"/>
              <w:right w:val="single" w:color="BFBFBF" w:sz="6"/>
            </w:tcBorders>
            <w:tcMar>
              <w:top w:type="dxa" w:w="100"/>
              <w:left w:type="dxa" w:w="120"/>
              <w:bottom w:type="dxa" w:w="100"/>
              <w:right w:type="dxa" w:w="120"/>
            </w:tcMar>
          </w:tcPr>
          <w:p>
            <w:r>
              <w:t xml:space="preserve">F4</w:t>
            </w:r>
          </w:p>
        </w:tc>
        <w:tc>
          <w:tcPr>
            <w:tcW w:type="dxa" w:w="900"/>
            <w:tcBorders>
              <w:top w:val="single" w:color="BFBFBF" w:sz="6"/>
              <w:left w:val="single" w:color="BFBFBF" w:sz="6"/>
              <w:bottom w:val="single" w:color="BFBFBF" w:sz="6"/>
              <w:right w:val="single" w:color="BFBFBF" w:sz="6"/>
            </w:tcBorders>
            <w:tcMar>
              <w:top w:type="dxa" w:w="100"/>
              <w:left w:type="dxa" w:w="120"/>
              <w:bottom w:type="dxa" w:w="100"/>
              <w:right w:type="dxa" w:w="120"/>
            </w:tcMar>
          </w:tcPr>
          <w:p>
            <w:r>
              <w:t xml:space="preserve">IaC</w:t>
            </w:r>
          </w:p>
        </w:tc>
        <w:tc>
          <w:tcPr>
            <w:tcW w:type="dxa" w:w="5260"/>
            <w:tcBorders>
              <w:top w:val="single" w:color="BFBFBF" w:sz="6"/>
              <w:left w:val="single" w:color="BFBFBF" w:sz="6"/>
              <w:bottom w:val="single" w:color="BFBFBF" w:sz="6"/>
              <w:right w:val="single" w:color="BFBFBF" w:sz="6"/>
            </w:tcBorders>
            <w:tcMar>
              <w:top w:type="dxa" w:w="100"/>
              <w:left w:type="dxa" w:w="120"/>
              <w:bottom w:type="dxa" w:w="100"/>
              <w:right w:type="dxa" w:w="120"/>
            </w:tcMar>
          </w:tcPr>
          <w:p>
            <w:r>
              <w:t xml:space="preserve">Privilege Escalation Allowed</w:t>
            </w:r>
          </w:p>
        </w:tc>
        <w:tc>
          <w:tcPr>
            <w:tcW w:type="dxa" w:w="1200"/>
            <w:tcBorders>
              <w:top w:val="single" w:color="BFBFBF" w:sz="6"/>
              <w:left w:val="single" w:color="BFBFBF" w:sz="6"/>
              <w:bottom w:val="single" w:color="BFBFBF" w:sz="6"/>
              <w:right w:val="single" w:color="BFBFBF" w:sz="6"/>
            </w:tcBorders>
            <w:tcMar>
              <w:top w:type="dxa" w:w="100"/>
              <w:left w:type="dxa" w:w="120"/>
              <w:bottom w:type="dxa" w:w="100"/>
              <w:right w:type="dxa" w:w="120"/>
            </w:tcMar>
          </w:tcPr>
          <w:p>
            <w:r>
              <w:t xml:space="preserve">High</w:t>
            </w:r>
          </w:p>
        </w:tc>
        <w:tc>
          <w:tcPr>
            <w:tcW w:type="dxa" w:w="1400"/>
            <w:tcBorders>
              <w:top w:val="single" w:color="BFBFBF" w:sz="6"/>
              <w:left w:val="single" w:color="BFBFBF" w:sz="6"/>
              <w:bottom w:val="single" w:color="BFBFBF" w:sz="6"/>
              <w:right w:val="single" w:color="BFBFBF" w:sz="6"/>
            </w:tcBorders>
            <w:tcMar>
              <w:top w:type="dxa" w:w="100"/>
              <w:left w:type="dxa" w:w="120"/>
              <w:bottom w:type="dxa" w:w="100"/>
              <w:right w:type="dxa" w:w="120"/>
            </w:tcMar>
          </w:tcPr>
          <w:p>
            <w:r>
              <w:t xml:space="preserve">L3 Amplifier</w:t>
            </w:r>
          </w:p>
        </w:tc>
      </w:tr>
    </w:tbl>
    <w:p>
      <w:pPr>
        <w:spacing w:after="120" w:line="300"/>
        <w:jc w:val="both"/>
      </w:pPr>
      <w:r>
        <w:t xml:space="preserve"/>
      </w:r>
    </w:p>
    <w:p>
      <w:pPr>
        <w:spacing w:after="120" w:line="300"/>
        <w:jc w:val="both"/>
      </w:pPr>
      <w:r>
        <w:rPr>
          <w:b/>
          <w:bCs/>
        </w:rPr>
        <w:t xml:space="preserve">Chain CPS on real tenant data: </w:t>
      </w:r>
      <w:r>
        <w:t xml:space="preserve">10.00 (High band). </w:t>
      </w:r>
      <w:r>
        <w:t xml:space="preserve">Two of the four chain participants are Low individually (Trust_Boundary_Violation_in_Session_Variables at CPS 7.87, IMDSv1 at CPS 8.25). The framework surfaces this as a Critical-tier chain that severity-tier triage would handle as one IMDSv1 Low and two unrelated High IaC findings.</w:t>
      </w:r>
    </w:p>
    <w:p>
      <w:pPr>
        <w:pStyle w:val="Heading1"/>
      </w:pPr>
      <w:r>
        <w:t xml:space="preserve">4. Empirical Validation — Two Chains Validated on Real Tenant Data</w:t>
      </w:r>
    </w:p>
    <w:p>
      <w:pPr>
        <w:spacing w:after="120" w:line="300"/>
        <w:jc w:val="both"/>
      </w:pPr>
      <w:r>
        <w:t xml:space="preserve">We constructed a deliberately-vulnerable lab and scanned it through a Checkmarx One tenant with SAST, SCA, Container Security, IaC Security, and AI Supply Chain Security enabled. Two chains validate FULLY_ASSEMBLED on real scan data; a third chain (AI-weaponization) is in active iteration.</w:t>
      </w:r>
    </w:p>
    <w:p>
      <w:pPr>
        <w:pStyle w:val="Heading2"/>
      </w:pPr>
      <w:r>
        <w:t xml:space="preserve">4.1 CH-001-DEMO — Cloud-Metadata Reach</w:t>
      </w:r>
    </w:p>
    <w:p>
      <w:pPr>
        <w:spacing w:after="120" w:line="300"/>
        <w:jc w:val="both"/>
      </w:pPr>
      <w:r>
        <w:t xml:space="preserve">Lab: Python/Flask application + Terraform + Kubernetes manifest. Tenant export contained 64 findings on this chain's source tree. All four required findings matched. </w:t>
      </w:r>
      <w:r>
        <w:rPr>
          <w:b/>
          <w:bCs/>
        </w:rPr>
        <w:t xml:space="preserve">Chain CPS = 10.00 (High band).</w:t>
      </w:r>
      <w:r>
        <w:t xml:space="preserve"> The chain matcher distinguished the four chain participants from 60 peripheral findings present in the same source tree, demonstrating that the framework does not flag every co-occurrence as a chain — it requires the catalog's declared composition.</w:t>
      </w:r>
    </w:p>
    <w:p>
      <w:pPr>
        <w:pStyle w:val="Heading2"/>
      </w:pPr>
      <w:r>
        <w:t xml:space="preserve">4.2 CH-A1 — Prompt-Template Tampering for Persistent Backdoor</w:t>
      </w:r>
    </w:p>
    <w:p>
      <w:pPr>
        <w:spacing w:after="120" w:line="300"/>
        <w:jc w:val="both"/>
      </w:pPr>
      <w:r>
        <w:t xml:space="preserve">Lab: Python LLM workflow with path traversal in a prompt-template loader, hard-coded LLM API keys, a Kubernetes manifest with a writable mount, an S3 PutObject permission, and 10 declared AI components (GPT-4o, Claude 3.5 Sonnet, Gemini 1.5 Pro, Llama 3.1, Mistral, Command R+, LangChain, Google ADK, Pinecone). Tenant export confirmed Path_Traversal × 2, Use_Of_Hardcoded_Password × 3, Privilege Escalation Allowed × 1. AI Supply Chain Security detected 7 of 10 declared components (Mistral, Command R+, and Pinecone were not enumerated in the May 2026 AISC component database). </w:t>
      </w:r>
      <w:r>
        <w:rPr>
          <w:b/>
          <w:bCs/>
        </w:rPr>
        <w:t xml:space="preserve">Chain CPS = 9.30 (High band).</w:t>
      </w:r>
    </w:p>
    <w:p>
      <w:pPr>
        <w:pStyle w:val="Heading2"/>
      </w:pPr>
      <w:r>
        <w:t xml:space="preserve">4.3 What These Validations Demonstrate</w:t>
      </w:r>
    </w:p>
    <w:p>
      <w:pPr>
        <w:pStyle w:val="ListParagraph"/>
        <w:numPr>
          <w:ilvl w:val="0"/>
          <w:numId w:val="2"/>
        </w:numPr>
        <w:spacing w:after="80" w:line="300"/>
      </w:pPr>
      <w:r>
        <w:t xml:space="preserve">Cross-engine composition produces measurable chain risk. CH-001-DEMO required SAST + IaC findings to compose; CH-A1 required SAST + IaC + AI-BOM.</w:t>
      </w:r>
    </w:p>
    <w:p>
      <w:pPr>
        <w:pStyle w:val="ListParagraph"/>
        <w:numPr>
          <w:ilvl w:val="0"/>
          <w:numId w:val="2"/>
        </w:numPr>
        <w:spacing w:after="80" w:line="300"/>
      </w:pPr>
      <w:r>
        <w:t xml:space="preserve">Per-finding CPS can exceed the tenant's severity tier. The IMDSv1 finding is tenant-rated Low (CVSS-style score) but scores CPS 8.25 (High band) because its Chain Utility and Blast Radius dimensions are HIGH. This is the framework's value: surfacing risk that severity-tier triage hides.</w:t>
      </w:r>
    </w:p>
    <w:p>
      <w:pPr>
        <w:pStyle w:val="ListParagraph"/>
        <w:numPr>
          <w:ilvl w:val="0"/>
          <w:numId w:val="2"/>
        </w:numPr>
        <w:spacing w:after="80" w:line="300"/>
      </w:pPr>
      <w:r>
        <w:t xml:space="preserve">The framework is honest about what fires and what does not. Our scans documented coverage gaps in AI Supply Chain Security (3 of 10 declared components not detected), severity drift between NVD and tenant ratings, and packages flagged as Used vs Unused — all of which are useful empirical observations for tooling vendors.</w:t>
      </w:r>
    </w:p>
    <w:p>
      <w:pPr>
        <w:pStyle w:val="Heading1"/>
      </w:pPr>
      <w:r>
        <w:t xml:space="preserve">5. Methodology Findings of Interest to Checkmarx</w:t>
      </w:r>
    </w:p>
    <w:p>
      <w:pPr>
        <w:spacing w:after="120" w:line="300"/>
        <w:jc w:val="both"/>
      </w:pPr>
      <w:r>
        <w:t xml:space="preserve">Three observations from this work may be directly useful to your team:</w:t>
      </w:r>
    </w:p>
    <w:p>
      <w:pPr>
        <w:spacing w:after="120" w:line="300"/>
        <w:jc w:val="both"/>
      </w:pPr>
      <w:r>
        <w:rPr>
          <w:b/>
          <w:bCs/>
        </w:rPr>
        <w:t xml:space="preserve">Finding 1 — Retroactive severity re-rating affects chain construction. </w:t>
      </w:r>
      <w:r>
        <w:t xml:space="preserve">In our tenant, semver 5.5.0 ReDoS is rated 7.5 (High) despite an NVD CVSS of 5.3. Missing User Instruction on Dockerfiles is rated High despite typical NVD scoring near 6.0. We documented similar drift on Add Instead of Copy (Medium vs NVD ~4.5). This is reasonable tenant policy, but it means "all-Low chain" labs that researchers might design from NVD scores can produce mixed-severity scans in practice. Worth knowing for both your customer documentation and any chain-aware features you may build.</w:t>
      </w:r>
    </w:p>
    <w:p>
      <w:pPr>
        <w:spacing w:after="120" w:line="300"/>
        <w:jc w:val="both"/>
      </w:pPr>
      <w:r>
        <w:rPr>
          <w:b/>
          <w:bCs/>
        </w:rPr>
        <w:t xml:space="preserve">Finding 2 — AI Supply Chain Security has component coverage gaps. </w:t>
      </w:r>
      <w:r>
        <w:t xml:space="preserve">Our CH-A1 lab declared 10 AI components in CycloneDX 1.6 AI-BOM format. The May 2026 AISC scan detected 7. The undetected three (Mistral Large, Cohere Command R+, Pinecone) are major-vendor models or services. This is not a bug in our lab; the CycloneDX BOM is well-formed and the components are correctly named. AISC's enumerated component database appears to favor OpenAI / Anthropic / Google / Meta and may not yet cover newer vendors and vector-store clients.</w:t>
      </w:r>
    </w:p>
    <w:p>
      <w:pPr>
        <w:spacing w:after="120" w:line="300"/>
        <w:jc w:val="both"/>
      </w:pPr>
      <w:r>
        <w:rPr>
          <w:b/>
          <w:bCs/>
        </w:rPr>
        <w:t xml:space="preserve">Finding 3 — Container Security and IaC engine boundaries create per-tenant variance. </w:t>
      </w:r>
      <w:r>
        <w:t xml:space="preserve">In our tenant, the same KICS-style Dockerfile rules (Missing User Instruction, Add Instead of Copy, Healthcheck Instruction Missing) sometimes appear under "Container Security" and sometimes under "IaC Security" depending on scan profile. This affects how a chain catalog should declare these findings' engine attribution. Suggested: standardize on one engine path or document the per-tenant behavior.</w:t>
      </w:r>
    </w:p>
    <w:p>
      <w:pPr>
        <w:pStyle w:val="Heading1"/>
      </w:pPr>
      <w:r>
        <w:t xml:space="preserve">6. Proposed Collaboration</w:t>
      </w:r>
    </w:p>
    <w:p>
      <w:pPr>
        <w:spacing w:after="120" w:line="300"/>
        <w:jc w:val="both"/>
      </w:pPr>
      <w:r>
        <w:t xml:space="preserve">We have a working proof-of-concept consisting of (a) a chain catalog format, (b) a CPS scoring engine in Python with parsers for Checkmarx One Vulnerability Type comprehensive reports plus CycloneDX AI-BOM, (c) a chain matcher with FULLY_ASSEMBLED / PARTIALLY_ASSEMBLED / NOT_ASSEMBLED reporting, (d) two deliberately-vulnerable labs with validated chain results on real tenant scans, and (e) 33 passing smoke tests covering parser shapes, scorer dispatch, and matcher assembly logic.</w:t>
      </w:r>
    </w:p>
    <w:p>
      <w:pPr>
        <w:spacing w:after="120" w:line="300"/>
        <w:jc w:val="both"/>
      </w:pPr>
      <w:r>
        <w:t xml:space="preserve">What we are proposing: open a GitHub repository containing the catalog, engine, labs, and documentation, accessible to the Zero Team. The team can reproduce our validation in your own lab tenant, push back on rubric weightings, propose additional chains for the catalog, and surface tenant-side observations the framework should account for.</w:t>
      </w:r>
    </w:p>
    <w:p>
      <w:pPr>
        <w:spacing w:after="120" w:line="300"/>
        <w:jc w:val="both"/>
      </w:pPr>
      <w:r>
        <w:t xml:space="preserve">Specific asks if the team finds the work interesting:</w:t>
      </w:r>
    </w:p>
    <w:p>
      <w:pPr>
        <w:pStyle w:val="ListParagraph"/>
        <w:numPr>
          <w:ilvl w:val="0"/>
          <w:numId w:val="2"/>
        </w:numPr>
        <w:spacing w:after="80" w:line="300"/>
      </w:pPr>
      <w:r>
        <w:t xml:space="preserve">Reproduce CH-001-DEMO and CH-A1 in a Zero Team lab tenant and share whether the chain CPS values reproduce within expected variance.</w:t>
      </w:r>
    </w:p>
    <w:p>
      <w:pPr>
        <w:pStyle w:val="ListParagraph"/>
        <w:numPr>
          <w:ilvl w:val="0"/>
          <w:numId w:val="2"/>
        </w:numPr>
        <w:spacing w:after="80" w:line="300"/>
      </w:pPr>
      <w:r>
        <w:t xml:space="preserve">Review the 5-dimension rubric weights (P=0.15, C=0.30, A=0.25, B=0.15, I=0.15) and propose adjustments based on your own threat-model priors.</w:t>
      </w:r>
    </w:p>
    <w:p>
      <w:pPr>
        <w:pStyle w:val="ListParagraph"/>
        <w:numPr>
          <w:ilvl w:val="0"/>
          <w:numId w:val="2"/>
        </w:numPr>
        <w:spacing w:after="80" w:line="300"/>
      </w:pPr>
      <w:r>
        <w:t xml:space="preserve">Suggest additional chain patterns the catalog should cover. Our current catalog has CH-001-DEMO, CH-A1, and a partially-assembled third chain; we believe the framework is more useful at 10+ catalog entries.</w:t>
      </w:r>
    </w:p>
    <w:p>
      <w:pPr>
        <w:pStyle w:val="ListParagraph"/>
        <w:numPr>
          <w:ilvl w:val="0"/>
          <w:numId w:val="2"/>
        </w:numPr>
        <w:spacing w:after="80" w:line="300"/>
      </w:pPr>
      <w:r>
        <w:t xml:space="preserve">Provide feedback on the parser's handling of Checkmarx One's report shapes. We've validated Vulnerability Type comprehensive reports; SARIF and Results JSON exports are also supported but less battle-tested.</w:t>
      </w:r>
    </w:p>
    <w:p>
      <w:pPr>
        <w:pStyle w:val="Heading1"/>
      </w:pPr>
      <w:r>
        <w:t xml:space="preserve">7. What the Repository Will Contain</w:t>
      </w:r>
    </w:p>
    <w:p>
      <w:pPr>
        <w:spacing w:after="120" w:line="300"/>
        <w:jc w:val="both"/>
      </w:pPr>
      <w:r>
        <w:t xml:space="preserve">On Zero Team's confirmation that the work is of interest, we will publish a GitHub repository with:</w:t>
      </w:r>
    </w:p>
    <w:p>
      <w:pPr>
        <w:pStyle w:val="ListParagraph"/>
        <w:numPr>
          <w:ilvl w:val="0"/>
          <w:numId w:val="2"/>
        </w:numPr>
        <w:spacing w:after="80" w:line="300"/>
      </w:pPr>
      <w:r>
        <w:t xml:space="preserve">Five-dimension rubric specification and scoring formulas.</w:t>
      </w:r>
    </w:p>
    <w:p>
      <w:pPr>
        <w:pStyle w:val="ListParagraph"/>
        <w:numPr>
          <w:ilvl w:val="0"/>
          <w:numId w:val="2"/>
        </w:numPr>
        <w:spacing w:after="80" w:line="300"/>
      </w:pPr>
      <w:r>
        <w:t xml:space="preserve">CPS engine source (Python 3.10+), parser, scorer, chain matcher, CLI.</w:t>
      </w:r>
    </w:p>
    <w:p>
      <w:pPr>
        <w:pStyle w:val="ListParagraph"/>
        <w:numPr>
          <w:ilvl w:val="0"/>
          <w:numId w:val="2"/>
        </w:numPr>
        <w:spacing w:after="80" w:line="300"/>
      </w:pPr>
      <w:r>
        <w:t xml:space="preserve">chains_index.json catalog with current chain entries.</w:t>
      </w:r>
    </w:p>
    <w:p>
      <w:pPr>
        <w:pStyle w:val="ListParagraph"/>
        <w:numPr>
          <w:ilvl w:val="0"/>
          <w:numId w:val="2"/>
        </w:numPr>
        <w:spacing w:after="80" w:line="300"/>
      </w:pPr>
      <w:r>
        <w:t xml:space="preserve">Two validated deliberately-vulnerable labs (CH-001 Cloud-Metadata Reach, CH-A1 Prompt-Template Tampering).</w:t>
      </w:r>
    </w:p>
    <w:p>
      <w:pPr>
        <w:pStyle w:val="ListParagraph"/>
        <w:numPr>
          <w:ilvl w:val="0"/>
          <w:numId w:val="2"/>
        </w:numPr>
        <w:spacing w:after="80" w:line="300"/>
      </w:pPr>
      <w:r>
        <w:t xml:space="preserve">Fixture data and 33 smoke tests.</w:t>
      </w:r>
    </w:p>
    <w:p>
      <w:pPr>
        <w:pStyle w:val="ListParagraph"/>
        <w:numPr>
          <w:ilvl w:val="0"/>
          <w:numId w:val="2"/>
        </w:numPr>
        <w:spacing w:after="80" w:line="300"/>
      </w:pPr>
      <w:r>
        <w:t xml:space="preserve">Validation procedure documentation: how to scan, export, and run the matcher.</w:t>
      </w:r>
    </w:p>
    <w:p>
      <w:pPr>
        <w:pStyle w:val="ListParagraph"/>
        <w:numPr>
          <w:ilvl w:val="0"/>
          <w:numId w:val="2"/>
        </w:numPr>
        <w:spacing w:after="80" w:line="300"/>
      </w:pPr>
      <w:r>
        <w:t xml:space="preserve">Real tenant scan outputs from our validation (redacted for tenant-identifying info).</w:t>
      </w:r>
    </w:p>
    <w:p>
      <w:pPr>
        <w:spacing w:after="120" w:line="300"/>
        <w:jc w:val="both"/>
      </w:pPr>
      <w:r>
        <w:t xml:space="preserve"/>
      </w:r>
    </w:p>
    <w:p>
      <w:pPr>
        <w:spacing w:after="120" w:line="300"/>
        <w:jc w:val="both"/>
      </w:pPr>
      <w:r>
        <w:t xml:space="preserve">Thank you for considering this. The framework is at a stage where outside review and reproduction would substantially strengthen the empirical core, and Zero Team is the natural collaborator given your team's research focus and tenant access.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E5395"/>
      <w:sz w:val="24"/>
      <w:szCs w:val="24"/>
    </w:rPr>
  </w:style>
  <w:style w:type="paragraph" w:styleId="Heading3">
    <w:name w:val="Heading 3"/>
    <w:basedOn w:val="Normal"/>
    <w:next w:val="Normal"/>
    <w:qFormat/>
    <w:pPr>
      <w:spacing w:after="80" w:before="18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CPS Research Brief for Checkmarx Zero Team</dc:title>
  <dc:creator>Bhawani Singh</dc:creator>
  <cp:lastModifiedBy>Un-named</cp:lastModifiedBy>
  <cp:revision>1</cp:revision>
  <dcterms:created xsi:type="dcterms:W3CDTF">2026-05-11T05:39:11.573Z</dcterms:created>
  <dcterms:modified xsi:type="dcterms:W3CDTF">2026-05-11T05:39:11.574Z</dcterms:modified>
</cp:coreProperties>
</file>

<file path=docProps/custom.xml><?xml version="1.0" encoding="utf-8"?>
<Properties xmlns="http://schemas.openxmlformats.org/officeDocument/2006/custom-properties" xmlns:vt="http://schemas.openxmlformats.org/officeDocument/2006/docPropsVTypes"/>
</file>