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40"/>
      </w:pPr>
      <w:r>
        <w:rPr>
          <w:rFonts w:ascii="Arial" w:eastAsia="Microsoft YaHei"/>
          <w:sz w:val="22"/>
        </w:rPr>
        <w:t xml:space="preserve">模拟三表核对</w:t>
      </w:r>
    </w:p>
    <w:p>
      <w:pPr>
        <w:spacing w:after="140"/>
      </w:pPr>
      <w:r>
        <w:rPr>
          <w:rFonts w:ascii="Arial" w:eastAsia="Microsoft YaHei"/>
          <w:sz w:val="22"/>
        </w:rPr>
        <w:t xml:space="preserve">模拟材料，须人工复核。</w:t>
      </w:r>
    </w:p>
    <w:p>
      <w:pPr>
        <w:spacing w:after="140"/>
      </w:pPr>
      <w:r>
        <w:rPr>
          <w:rFonts w:ascii="Arial" w:eastAsia="Microsoft YaHei"/>
          <w:sz w:val="22"/>
        </w:rPr>
        <w:t xml:space="preserve">{}</w:t>
      </w:r>
    </w:p>
    <w:p>
      <w:pPr>
        <w:spacing w:after="140"/>
      </w:pPr>
      <w:r>
        <w:rPr>
          <w:rFonts w:ascii="Arial" w:eastAsia="Microsoft YaHei"/>
          <w:sz w:val="22"/>
        </w:rPr>
        <w:t xml:space="preserve">year：2025；assets：1020250；liabilities：410125；equity：610125；revenue：824300；profit：102025；cfo：82025；cfi：-50000；cff：10000；fx：0；net_cash_change：42025；opening_cash：50000；ending_cash：92025；unit：元；scope：consolidated；synthetic：true</w:t>
      </w:r>
    </w:p>
    <w:sectPr/>
  </w:body>
</w:document>
</file>