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04976"/>
          <w:sz w:val="40"/>
        </w:rPr>
        <w:t>MIMIC-IV ICU 真实世界证据分析汇报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2"/>
        </w:rPr>
        <w:t>早期升压药使用与院内死亡风险：Target Trial Emulation + IPTW/AIPW｜老板与医学团队汇报版</w:t>
      </w:r>
    </w:p>
    <w:p>
      <w:r>
        <w:rPr>
          <w:rFonts w:ascii="Noto Sans CJK SC" w:hAnsi="Noto Sans CJK SC" w:eastAsia="Noto Sans CJK SC"/>
          <w:b w:val="0"/>
          <w:sz w:val="21"/>
        </w:rPr>
        <w:t>汇报定位：这是一个用于 RWE/Advanced Analytics 展示的可复现观察性研究项目。当前结果为基于源数据提取和统计调整后的 preliminary analysis，可用于内部方法汇报、简历项目展示和后续 protocol/SAP 完善。</w:t>
      </w:r>
    </w:p>
    <w:p>
      <w:pPr>
        <w:pStyle w:val="Heading1"/>
      </w:pPr>
      <w:r>
        <w:t>1. Executive Summary｜管理层摘要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1F4E7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8352"/>
            <w:vAlign w:val="center"/>
            <w:shd w:fill="1F4E7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业务/医学问题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在 ICU sepsis-coded 患者中，6 小时内早期使用升压药与院内死亡风险是否相关？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数据与样本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MIMIC-IV ICU 源数据，本地提取；adult first ICU stay + sepsis ICD proxy + 6h landmark；分析队列 N=9,502。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主要发现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早期升压药组粗死亡率更高（32.9% vs. 25.2%），但 AIPW 调整后 RD=1.17 个百分点，95% CI -0.52 至 2.87。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医学解释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粗比较受疾病严重程度和 confounding by indication 影响；调整后结果接近 null，不应解读为早期升压药造成死亡风险升高。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下一步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验证 Sepsis-3 onset、SOFA/Charlson 派生表、升压药 itemid；补做敏感性分析和医学团队审阅。</w:t>
            </w:r>
          </w:p>
        </w:tc>
      </w:tr>
    </w:tbl>
    <w:p/>
    <w:p>
      <w:pPr>
        <w:pStyle w:val="Heading1"/>
      </w:pPr>
      <w:r>
        <w:t>2. 研究问题与 Target Trial Emulation 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1F4E7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要素</w:t>
            </w:r>
          </w:p>
        </w:tc>
        <w:tc>
          <w:tcPr>
            <w:tcW w:type="dxa" w:w="8496"/>
            <w:vAlign w:val="center"/>
            <w:shd w:fill="1F4E7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本项目定义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Population</w:t>
            </w:r>
          </w:p>
        </w:tc>
        <w:tc>
          <w:tcPr>
            <w:tcW w:type="dxa" w:w="8496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MIMIC-IV 成人首次 ICU stay；sepsis-coded admission；ICU admission 后 6 小时仍满足 landmark eligibility。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Treatment strategy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ICU admission 后 0-6 小时内开始 norepinephrine/epinephrine/vasopressin/phenylephrine/dopamine 等升压药。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Comparator</w:t>
            </w:r>
          </w:p>
        </w:tc>
        <w:tc>
          <w:tcPr>
            <w:tcW w:type="dxa" w:w="8496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ICU admission 后 0-6 小时内未开始升压药。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Time zero / Landmark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简化版 time zero 为 ICU admission；6 小时 grace period / landmark 用于降低 immortal time bias。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Outcome</w:t>
            </w:r>
          </w:p>
        </w:tc>
        <w:tc>
          <w:tcPr>
            <w:tcW w:type="dxa" w:w="8496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院内死亡 hospital_expire_flag；可扩展 ICU LOS、hospital LOS、28-day mortality。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Baseline confounders</w:t>
            </w:r>
          </w:p>
        </w:tc>
        <w:tc>
          <w:tcPr>
            <w:tcW w:type="dxa" w:w="8496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年龄、性别、admission type、ICU care unit、诊断负担、前 6 小时生命体征和实验室指标。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Estimand</w:t>
            </w:r>
          </w:p>
        </w:tc>
        <w:tc>
          <w:tcPr>
            <w:tcW w:type="dxa" w:w="8496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在目标 ICU sepsis-coded 人群中，早期 vs 非早期升压药策略对院内死亡风险的平均处理效应。</w:t>
            </w:r>
          </w:p>
        </w:tc>
      </w:tr>
    </w:tbl>
    <w:p/>
    <w:p>
      <w:pPr>
        <w:pStyle w:val="Heading1"/>
      </w:pPr>
      <w:r>
        <w:t>3. 数据构建与 Cohort Flow</w:t>
      </w:r>
    </w:p>
    <w:p>
      <w:r>
        <w:rPr>
          <w:rFonts w:ascii="Noto Sans CJK SC" w:hAnsi="Noto Sans CJK SC" w:eastAsia="Noto Sans CJK SC"/>
          <w:b w:val="0"/>
          <w:sz w:val="21"/>
        </w:rPr>
        <w:t>本项目从源数据表构建 one-row-per-ICU-stay 分析数据集，避免把用药记录或化验记录的 long format 直接用于结局模型。核心整合表包括 admissions、patients、diagnoses_icd、icustays、inputevents、d_items、chartevents 和 labevents。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vAlign w:val="center"/>
            <w:shd w:fill="1F4E7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336"/>
            <w:vAlign w:val="center"/>
            <w:shd w:fill="1F4E7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数值</w:t>
            </w:r>
          </w:p>
        </w:tc>
      </w:tr>
      <w:tr>
        <w:tc>
          <w:tcPr>
            <w:tcW w:type="dxa" w:w="4608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Analytic cohort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9,502 ICU stays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Early vasopressor, 0-6h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3,772 (39.7%)</w:t>
            </w:r>
          </w:p>
        </w:tc>
      </w:tr>
      <w:tr>
        <w:tc>
          <w:tcPr>
            <w:tcW w:type="dxa" w:w="4608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No early vasopressor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5,730 (60.3%)</w:t>
            </w:r>
          </w:p>
        </w:tc>
      </w:tr>
      <w:tr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Overall hospital mortality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28.3%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hort_cou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统计分析方法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分析模块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目的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输出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Crude comparison</w:t>
            </w:r>
          </w:p>
        </w:tc>
        <w:tc>
          <w:tcPr>
            <w:tcW w:type="dxa" w:w="4464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描述治疗组与对照组的未调整院内死亡率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crude_mortality_by_treatment.csv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Propensity score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估计接受早期升压药的概率，检查 overlap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propensity_overlap.png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IPTW / stabilized weights</w:t>
            </w:r>
          </w:p>
        </w:tc>
        <w:tc>
          <w:tcPr>
            <w:tcW w:type="dxa" w:w="4464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平衡 baseline covariates，降低 measured confounding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table1_smd_before_after.csv, love_plot.png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Weighted logistic regression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估计加权后的 odds ratio / 关联强度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weighted_logistic_results.csv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AIPW</w:t>
            </w:r>
          </w:p>
        </w:tc>
        <w:tc>
          <w:tcPr>
            <w:tcW w:type="dxa" w:w="4464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结合 treatment model 与 outcome model，估计 risk difference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aipw_results.csv</w:t>
            </w:r>
          </w:p>
        </w:tc>
      </w:tr>
    </w:tbl>
    <w:p/>
    <w:p>
      <w:pPr>
        <w:pStyle w:val="Heading1"/>
      </w:pPr>
      <w:r>
        <w:t>5. 结果：粗死亡率与调整后估计</w:t>
      </w:r>
    </w:p>
    <w:p>
      <w:r>
        <w:rPr>
          <w:rFonts w:ascii="Noto Sans CJK SC" w:hAnsi="Noto Sans CJK SC" w:eastAsia="Noto Sans CJK SC"/>
          <w:b w:val="0"/>
          <w:sz w:val="21"/>
        </w:rPr>
        <w:t>粗分析显示，早期升压药组院内死亡率为 32.9%，非早期升压药组为 25.2%。该差异不能直接解释为药物策略导致死亡率差异，因为早期用药通常提示患者入 ICU 时循环不稳定或病情更重。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ude_morta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sz w:val="21"/>
        </w:rPr>
        <w:t>AIPW 调整后 risk difference 为 1.17 个百分点，95% CI 为 -0.52 至 2.87，结果接近 null 且置信区间跨 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67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pw_rd_for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平衡性与诊断</w:t>
      </w:r>
    </w:p>
    <w:p>
      <w:r>
        <w:rPr>
          <w:rFonts w:ascii="Noto Sans CJK SC" w:hAnsi="Noto Sans CJK SC" w:eastAsia="Noto Sans CJK SC"/>
          <w:b w:val="0"/>
          <w:sz w:val="21"/>
        </w:rPr>
        <w:t>IPTW 后，13/13 个数值型 baseline covariates 的绝对 SMD 小于 0.1；最大绝对 SMD 由调整前 0.288 降至调整后 0.046。这说明 measured covariates 的平衡性明显改善，但仍不能排除 unmeasured confounding。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9783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ensity_overl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9783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ve_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医学解读与沟通要点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早期升压药组粗死亡率更高，可能反映患者基线严重程度更高，而不是治疗策略本身有害。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AIPW 调整后 risk difference 接近 null，说明经过 measured confounders 调整后，早期升压药与院内死亡的关联明显减弱。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该项目更适合表述为 observational treatment strategy analysis，而不是疗效验证或因果结论。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对医学团队汇报时，应重点讨论 time zero、grace period、sepsis onset、升压药定义、SOFA/Charlson 和 residual confounding。</w:t>
      </w:r>
    </w:p>
    <w:p>
      <w:pPr>
        <w:pStyle w:val="Heading1"/>
      </w:pPr>
      <w:r>
        <w:t>8. 局限性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当前版本使用 ICD sepsis proxy 和 ICU admission 作为简化 time zero；严格论文级分析应使用 Sepsis-3 onset 或 mimic-code derived sepsis3。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升压药用药时间和 itemid 需要医学/药学团队复核，尤其是不同 MIMIC 版本中的 d_items label 差异。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baseline covariates 只覆盖可提取的前 6 小时 vitals/labs，仍可能缺少 APACHE、护理评估、液体复苏量等关键临床信息。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CSV 读取阶段对极少数 malformed chartevents rows 采用 ignore_errors，适合简历/portfolio 项目；正式研究需重新核验源文件完整性。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观察性 EHR 分析无法完全消除 confounding by indication，结论应避免过度因果化。</w:t>
      </w:r>
    </w:p>
    <w:p>
      <w:pPr>
        <w:pStyle w:val="Heading1"/>
      </w:pPr>
      <w:r>
        <w:t>9. 建议下一步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F4E7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行动项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目的</w:t>
            </w:r>
          </w:p>
        </w:tc>
      </w:tr>
      <w:tr>
        <w:tc>
          <w:tcPr>
            <w:tcW w:type="dxa" w:w="1728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High</w:t>
            </w:r>
          </w:p>
        </w:tc>
        <w:tc>
          <w:tcPr>
            <w:tcW w:type="dxa" w:w="5760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使用 mimic-code derived tables 验证 Sepsis-3、SOFA、Charlson、vasopressor 和 ventilation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提高临床定义和可复现性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High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请医学团队复核 time zero、0-6h treatment window 和 comparator 定义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降低 immortal time / indication bias 解释风险</w:t>
            </w:r>
          </w:p>
        </w:tc>
      </w:tr>
      <w:tr>
        <w:tc>
          <w:tcPr>
            <w:tcW w:type="dxa" w:w="1728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Medium</w:t>
            </w:r>
          </w:p>
        </w:tc>
        <w:tc>
          <w:tcPr>
            <w:tcW w:type="dxa" w:w="5760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做 0-3h、0-6h、0-12h treatment window 敏感性分析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评估暴露定义稳健性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Medium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限制在 24h 内使用升压药者，比较 early vs delayed 6-24h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减少 never-user comparator 的异质性</w:t>
            </w:r>
          </w:p>
        </w:tc>
      </w:tr>
      <w:tr>
        <w:tc>
          <w:tcPr>
            <w:tcW w:type="dxa" w:w="1728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Medium</w:t>
            </w:r>
          </w:p>
        </w:tc>
        <w:tc>
          <w:tcPr>
            <w:tcW w:type="dxa" w:w="5760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补充 protocol、SAP、TFL shell 和 study report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贴合 RWE 实习 JD 的交付物能力</w:t>
            </w:r>
          </w:p>
        </w:tc>
      </w:tr>
    </w:tbl>
    <w:p/>
    <w:p>
      <w:pPr>
        <w:pStyle w:val="Heading1"/>
      </w:pPr>
      <w:r>
        <w:t>10. 对应岗位 JD 的可展示能力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1F4E7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JD 要求</w:t>
            </w:r>
          </w:p>
        </w:tc>
        <w:tc>
          <w:tcPr>
            <w:tcW w:type="dxa" w:w="7776"/>
            <w:vAlign w:val="center"/>
            <w:shd w:fill="1F4E79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本项目对应证据</w:t>
            </w:r>
          </w:p>
        </w:tc>
      </w:tr>
      <w:tr>
        <w:tc>
          <w:tcPr>
            <w:tcW w:type="dxa" w:w="3168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观察性研究 / RWE 项目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使用 MIMIC-IV ICU EHR 数据完成 treatment strategy observational analysis。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方案、SAP、报告写作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已定义 PICO/time zero/exposure/outcome/confounders，并形成 protocol/SAP 风格汇报材料。</w:t>
            </w:r>
          </w:p>
        </w:tc>
      </w:tr>
      <w:tr>
        <w:tc>
          <w:tcPr>
            <w:tcW w:type="dxa" w:w="3168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数据分析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完成 SQL/DuckDB 源数据提取、cohort construction、PS/IPTW/AIPW 和 TFL-style outputs。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医学沟通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结果解释强调 confounding by indication、临床定义验证和医学团队审阅。</w:t>
            </w:r>
          </w:p>
        </w:tc>
      </w:tr>
      <w:tr>
        <w:tc>
          <w:tcPr>
            <w:tcW w:type="dxa" w:w="3168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Office/PPT 能力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可输出管理层摘要、医学团队汇报 PPT、Table 1、图表和简历项目描述。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