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004976"/>
          <w:sz w:val="40"/>
        </w:rPr>
        <w:t>RWE / Advanced Analytics 实习简历条目（可直接复制）</w:t>
      </w:r>
    </w:p>
    <w:p>
      <w:pPr>
        <w:jc w:val="center"/>
      </w:pPr>
      <w:r>
        <w:rPr>
          <w:rFonts w:ascii="Noto Sans CJK SC" w:hAnsi="Noto Sans CJK SC" w:eastAsia="Noto Sans CJK SC"/>
          <w:color w:val="505050"/>
          <w:sz w:val="22"/>
        </w:rPr>
        <w:t>针对 Real World Evidence &amp; Analytics Summer Intern JD 优化</w:t>
      </w:r>
    </w:p>
    <w:p>
      <w:pPr>
        <w:pStyle w:val="Heading1"/>
      </w:pPr>
      <w:r>
        <w:t>项目经历｜英文版</w:t>
      </w:r>
    </w:p>
    <w:p>
      <w:r>
        <w:rPr>
          <w:rFonts w:ascii="Noto Sans CJK SC" w:hAnsi="Noto Sans CJK SC" w:eastAsia="Noto Sans CJK SC"/>
          <w:b/>
          <w:sz w:val="21"/>
        </w:rPr>
        <w:t>MIMIC-IV ICU Real-World Evidence Study: Early Vasopressor Initiation and In-Hospital Mortality | Python, SQL/DuckDB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Designed a target-trial-emulation style observational RWE study using MIMIC-IV ICU EHR data, defining adult sepsis-coded first ICU stays, 6-hour landmark/grace period, early vasopressor exposure, hospital mortality outcome, and baseline confounders.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Built a patient-level analysis dataset by integrating ICU stays, admissions, diagnoses, medication/input events, vitals, labs, and mortality records; constructed an analytic cohort of 9,502 ICU stays with reproducible cohort flow and treatment classification.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Conducted propensity-score diagnostics and causal adjustment using stabilized IPTW, weighted logistic regression, and AIPW; generated Table 1/SMD balance assessment, propensity score overlap plots, love plots, and adjusted risk-difference estimates.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Compared crude and adjusted findings: early vasopressor users had higher crude mortality (32.9% vs. 25.2%), while AIPW-adjusted risk difference was close to null (1.17 percentage points; 95% CI: -0.52 to 2.87), illustrating confounding by indication in ICU treatment strategy analysis.</w:t>
      </w:r>
    </w:p>
    <w:p>
      <w:pPr>
        <w:pStyle w:val="Heading1"/>
      </w:pPr>
      <w:r>
        <w:t>项目经历｜中文版</w:t>
      </w:r>
    </w:p>
    <w:p>
      <w:r>
        <w:rPr>
          <w:rFonts w:ascii="Noto Sans CJK SC" w:hAnsi="Noto Sans CJK SC" w:eastAsia="Noto Sans CJK SC"/>
          <w:b/>
          <w:sz w:val="21"/>
        </w:rPr>
        <w:t>MIMIC-IV ICU 真实世界证据研究：早期升压药使用与院内死亡风险 | Python, SQL/DuckDB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基于 MIMIC-IV ICU 真实世界 EHR 数据，设计 target trial emulation 风格的观察性研究，定义成人 sepsis-coded 首次 ICU 患者、6 小时 landmark/grace period、早期升压药暴露、院内死亡结局和 baseline confounders。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使用 SQL/DuckDB 与 Python 整合 ICU stay、admission、diagnosis、inputevents/medication、vitals、labs 和 mortality 数据，构建 one-row-per-ICU-stay 的 patient-level analysis dataset；最终分析队列 N=9,502。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完成 propensity score diagnostics、stabilized IPTW、weighted logistic regression 与 AIPW 分析，输出 cohort flow、Table 1/SMD 平衡性表、propensity overlap、love plot、粗死亡率比较和调整后 risk difference。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比较粗分析与调整后结果：早期升压药组粗死亡率较高（32.9% vs. 25.2%），但 AIPW 调整后 risk difference 接近零（1.17 个百分点；95% CI: -0.52 至 2.87），体现 ICU 治疗策略分析中 confounding by indication 的影响。</w:t>
      </w:r>
    </w:p>
    <w:p>
      <w:pPr>
        <w:pStyle w:val="Heading1"/>
      </w:pPr>
      <w:r>
        <w:t>技能栏建议｜贴合 JD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1F4E7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8352"/>
            <w:vAlign w:val="center"/>
            <w:shd w:fill="1F4E7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建议写法</w:t>
            </w:r>
          </w:p>
        </w:tc>
      </w:tr>
      <w:tr>
        <w:tc>
          <w:tcPr>
            <w:tcW w:type="dxa" w:w="2592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Statistical &amp; RWE Methods</w:t>
            </w:r>
          </w:p>
        </w:tc>
        <w:tc>
          <w:tcPr>
            <w:tcW w:type="dxa" w:w="8352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Observational Study Design, Target Trial Emulation, Propensity Score, IPTW, AIPW, Logistic Regression, Table 1/SMD, TFL Outputs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Programming &amp; Data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Python, SQL/DuckDB, R, Excel, PowerPoint；SAS/Stata 可写为 familiar/basic（仅在真实会用时写 proficient）</w:t>
            </w:r>
          </w:p>
        </w:tc>
      </w:tr>
      <w:tr>
        <w:tc>
          <w:tcPr>
            <w:tcW w:type="dxa" w:w="2592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Healthcare Data</w:t>
            </w:r>
          </w:p>
        </w:tc>
        <w:tc>
          <w:tcPr>
            <w:tcW w:type="dxa" w:w="8352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EHR/ICU Data, MIMIC-IV, Cohort Construction, Treatment Strategy Analysis, Real-World Evidence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Writing &amp; Communication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Protocol/SAP-style documentation, study report drafting, bilingual scientific communication</w:t>
            </w:r>
          </w:p>
        </w:tc>
      </w:tr>
    </w:tbl>
    <w:p/>
    <w:p>
      <w:pPr>
        <w:pStyle w:val="Heading1"/>
      </w:pPr>
      <w:r>
        <w:t>面试 30 秒版本</w:t>
      </w:r>
    </w:p>
    <w:p>
      <w:r>
        <w:rPr>
          <w:rFonts w:ascii="Noto Sans CJK SC" w:hAnsi="Noto Sans CJK SC" w:eastAsia="Noto Sans CJK SC"/>
          <w:b w:val="0"/>
          <w:sz w:val="21"/>
        </w:rPr>
        <w:t>我做过一个 MIMIC-IV ICU 的真实世界证据项目，问题是 sepsis-coded ICU 患者中 6 小时内早期升压药使用与院内死亡风险的关系。我没有只做粗死亡率比较，而是按 target trial emulation 的思路定义人群、time zero、grace period、暴露、结局和 confounders，然后用 SQL/DuckDB 和 Python 构建 patient-level analysis dataset，并完成 propensity score、IPTW、weighted logistic regression 和 AIPW。最终结果也体现了 RWE 项目中常见的 confounding by indication：粗死亡率早期升压药组更高，但调整后 risk difference 接近 null，因此解释时需要非常谨慎。</w:t>
      </w:r>
    </w:p>
    <w:p>
      <w:pPr>
        <w:pStyle w:val="Heading1"/>
      </w:pPr>
      <w:r>
        <w:t>简历措辞风险控制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  <w:vAlign w:val="center"/>
            <w:shd w:fill="1F4E7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不要写</w:t>
            </w:r>
          </w:p>
        </w:tc>
        <w:tc>
          <w:tcPr>
            <w:tcW w:type="dxa" w:w="6336"/>
            <w:vAlign w:val="center"/>
            <w:shd w:fill="1F4E7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建议写</w:t>
            </w:r>
          </w:p>
        </w:tc>
      </w:tr>
      <w:tr>
        <w:tc>
          <w:tcPr>
            <w:tcW w:type="dxa" w:w="4608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proved early vasopressor caused mortality change</w:t>
            </w:r>
          </w:p>
        </w:tc>
        <w:tc>
          <w:tcPr>
            <w:tcW w:type="dxa" w:w="6336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estimated association / adjusted risk difference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demonstrated clinical benefit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assessed treatment strategy using observational RWE methods</w:t>
            </w:r>
          </w:p>
        </w:tc>
      </w:tr>
      <w:tr>
        <w:tc>
          <w:tcPr>
            <w:tcW w:type="dxa" w:w="4608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published-level evidence</w:t>
            </w:r>
          </w:p>
        </w:tc>
        <w:tc>
          <w:tcPr>
            <w:tcW w:type="dxa" w:w="6336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portfolio / project-level RWE analysis with reproducible extraction and TFL outputs</w:t>
            </w:r>
          </w:p>
        </w:tc>
      </w:tr>
    </w:tbl>
    <w:p/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