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B1D6DE">
      <w:pPr>
        <w:keepNext/>
        <w:suppressAutoHyphens/>
        <w:spacing w:before="240" w:after="120" w:line="276" w:lineRule="auto"/>
        <w:jc w:val="center"/>
        <w:outlineLvl w:val="1"/>
        <w:rPr>
          <w:rFonts w:eastAsia="宋体"/>
          <w:i/>
          <w:sz w:val="20"/>
          <w:szCs w:val="20"/>
        </w:rPr>
      </w:pPr>
      <w:r>
        <w:rPr>
          <w:rFonts w:hint="eastAsia" w:eastAsia="宋体"/>
          <w:i/>
          <w:sz w:val="20"/>
          <w:szCs w:val="20"/>
        </w:rPr>
        <w:t>2.2 U</w:t>
      </w:r>
      <w:r>
        <w:rPr>
          <w:rFonts w:eastAsia="宋体"/>
          <w:i/>
          <w:sz w:val="20"/>
          <w:szCs w:val="20"/>
          <w:lang w:eastAsia="en-US"/>
        </w:rPr>
        <w:t>nderwater channe</w:t>
      </w:r>
      <w:r>
        <w:rPr>
          <w:rFonts w:hint="eastAsia" w:eastAsia="宋体"/>
          <w:i/>
          <w:sz w:val="20"/>
          <w:szCs w:val="20"/>
        </w:rPr>
        <w:t>l</w:t>
      </w:r>
    </w:p>
    <w:p w14:paraId="14A2DA27">
      <w:pPr>
        <w:pStyle w:val="2"/>
        <w:suppressAutoHyphens/>
        <w:kinsoku w:val="0"/>
        <w:overflowPunct w:val="0"/>
        <w:spacing w:line="276" w:lineRule="auto"/>
        <w:ind w:firstLine="567"/>
        <w:jc w:val="both"/>
        <w:rPr>
          <w:rFonts w:asciiTheme="majorBidi" w:hAnsiTheme="majorBidi" w:eastAsiaTheme="minorEastAsia" w:cstheme="majorBidi"/>
          <w:lang w:val="en-US"/>
        </w:rPr>
      </w:pPr>
      <w:r>
        <w:rPr>
          <w:rFonts w:asciiTheme="majorBidi" w:hAnsiTheme="majorBidi" w:cstheme="majorBidi"/>
          <w:lang w:val="en-US"/>
        </w:rPr>
        <w:t>For interference in the underwater channel, it is cate-gorized into additive Gaussian white noise and multi-plicative noise. The mathematical expression for the channel model is as follows:</w:t>
      </w:r>
    </w:p>
    <w:p w14:paraId="790258F7">
      <w:pPr>
        <w:pStyle w:val="5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position w:val="-12"/>
        </w:rPr>
        <w:object>
          <v:shape id="_x0000_i1025" o:spt="75" type="#_x0000_t75" style="height:18pt;width:69.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MACROBUTTON MTPlaceRef \* MERGEFORMAT </w:instrTex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MTEqn \h \* MERGEFORMAT 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instrText xml:space="preserve">(</w:instrTex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MTEqn \c \* Arabic \* MERGEFORMAT </w:instrText>
      </w:r>
      <w:r>
        <w:rPr>
          <w:rFonts w:eastAsiaTheme="minorEastAsia"/>
        </w:rPr>
        <w:fldChar w:fldCharType="separate"/>
      </w:r>
      <w:r>
        <w:rPr>
          <w:rFonts w:eastAsiaTheme="minorEastAsia"/>
        </w:rPr>
        <w:instrText xml:space="preserve">1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instrText xml:space="preserve">)</w:instrText>
      </w:r>
      <w:r>
        <w:rPr>
          <w:rFonts w:eastAsiaTheme="minorEastAsia"/>
        </w:rPr>
        <w:fldChar w:fldCharType="end"/>
      </w:r>
    </w:p>
    <w:p w14:paraId="4C94890E">
      <w:pPr>
        <w:pStyle w:val="2"/>
        <w:suppressAutoHyphens/>
        <w:kinsoku w:val="0"/>
        <w:overflowPunct w:val="0"/>
        <w:spacing w:line="276" w:lineRule="auto"/>
        <w:ind w:firstLine="567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Among them, </w:t>
      </w:r>
      <m:oMath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en-US"/>
              </w:rPr>
              <m:t>y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en-US"/>
              </w:rPr>
              <m:t>1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sub>
        </m:sSub>
      </m:oMath>
      <w:r>
        <w:rPr>
          <w:rFonts w:eastAsiaTheme="minorEastAsia"/>
          <w:lang w:val="en-US"/>
        </w:rPr>
        <w:t xml:space="preserve"> represents the information before passing through the channel, </w:t>
      </w:r>
      <m:oMath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en-US"/>
              </w:rPr>
              <m:t>y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en-US"/>
              </w:rPr>
              <m:t>2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sub>
        </m:sSub>
      </m:oMath>
      <w:r>
        <w:rPr>
          <w:rFonts w:eastAsiaTheme="minorEastAsia"/>
          <w:lang w:val="en-US"/>
        </w:rPr>
        <w:t xml:space="preserve"> represents the in-formation after passing through the channel, </w:t>
      </w:r>
      <m:oMath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en-US"/>
              </w:rPr>
              <m:t>I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en-US"/>
              </w:rPr>
              <m:t>c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sub>
        </m:sSub>
      </m:oMath>
      <w:r>
        <w:rPr>
          <w:rFonts w:eastAsiaTheme="minorEastAsia"/>
          <w:lang w:val="en-US"/>
        </w:rPr>
        <w:t xml:space="preserve"> represents multiplicative noise, and </w:t>
      </w:r>
      <m:oMath>
        <m:r>
          <m:rPr/>
          <w:rPr>
            <w:rFonts w:ascii="Cambria Math" w:hAnsi="Cambria Math" w:eastAsiaTheme="minorEastAsia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represents addi-tive Gaussian white noise. In this paper, the multipli-cative noise focuses on the impact of underwater turbulence. Three different distribution functions represent the multiplicative noise to simulate various underwater environments: the generalized gamma distribution, the lognormal distribution, and the Gamma-Gamma distribution.</w:t>
      </w:r>
    </w:p>
    <w:p w14:paraId="2720FE5A">
      <w:pPr>
        <w:pStyle w:val="2"/>
        <w:suppressAutoHyphens/>
        <w:kinsoku w:val="0"/>
        <w:overflowPunct w:val="0"/>
        <w:spacing w:line="276" w:lineRule="auto"/>
        <w:ind w:firstLine="567"/>
        <w:jc w:val="both"/>
        <w:rPr>
          <w:rFonts w:asciiTheme="majorBidi" w:hAnsiTheme="majorBidi" w:eastAsiaTheme="minorEastAsia" w:cstheme="majorBidi"/>
          <w:sz w:val="24"/>
          <w:szCs w:val="24"/>
          <w:lang w:val="en-US"/>
        </w:rPr>
      </w:pPr>
      <w:r>
        <w:rPr>
          <w:rFonts w:eastAsia="宋体"/>
          <w:lang w:val="en-US"/>
        </w:rPr>
        <w:t>Weak turbulence is primarily caused by factors such as temperature differences. The generalized gamma distribution, proposed by the Oubei team</w:t>
      </w:r>
      <w:r>
        <w:rPr>
          <w:rFonts w:hint="eastAsia" w:eastAsia="宋体"/>
          <w:lang w:val="en-US"/>
        </w:rPr>
        <w:t xml:space="preserve"> </w:t>
      </w:r>
      <w:r>
        <w:rPr>
          <w:rFonts w:eastAsia="宋体"/>
          <w:lang w:val="en-US"/>
        </w:rPr>
        <w:fldChar w:fldCharType="begin"/>
      </w:r>
      <w:r>
        <w:rPr>
          <w:rFonts w:eastAsia="宋体"/>
          <w:lang w:val="en-US"/>
        </w:rPr>
        <w:instrText xml:space="preserve"> ADDIN EN.CITE &lt;EndNote&gt;&lt;Cite&gt;&lt;Author&gt;Oubei&lt;/Author&gt;&lt;Year&gt;2017&lt;/Year&gt;&lt;RecNum&gt;49&lt;/RecNum&gt;&lt;DisplayText&gt;[11]&lt;/DisplayText&gt;&lt;record&gt;&lt;rec-number&gt;49&lt;/rec-number&gt;&lt;foreign-keys&gt;&lt;key app="EN" db-id="drdwtersndezpaewx5d5ffpvap0er5r5xwv5" timestamp="1720947443"&gt;49&lt;/key&gt;&lt;/foreign-keys&gt;&lt;ref-type name="Journal Article"&gt;17&lt;/ref-type&gt;&lt;contributors&gt;&lt;authors&gt;&lt;author&gt;Oubei, Hassan Makine&lt;/author&gt;&lt;author&gt;Zedini, Emna&lt;/author&gt;&lt;author&gt;ElAfandy, Rami T&lt;/author&gt;&lt;author&gt;Kammoun, Abla&lt;/author&gt;&lt;author&gt;Abdallah, Mohamed&lt;/author&gt;&lt;author&gt;Ng, Tien Khee,  et al.&lt;/author&gt;&lt;/authors&gt;&lt;/contributors&gt;&lt;titles&gt;&lt;title&gt;Simple statistical channel model for weak temperature-induced turbulence in underwater wireless optical communication systems&lt;/title&gt;&lt;secondary-title&gt;Optics Letters&lt;/secondary-title&gt;&lt;alt-title&gt;Opt. Lett.&lt;/alt-title&gt;&lt;/titles&gt;&lt;periodical&gt;&lt;full-title&gt;Optics Letters&lt;/full-title&gt;&lt;abbr-1&gt;Opt. Lett.&lt;/abbr-1&gt;&lt;/periodical&gt;&lt;alt-periodical&gt;&lt;full-title&gt;Optics Letters&lt;/full-title&gt;&lt;abbr-1&gt;Opt. Lett.&lt;/abbr-1&gt;&lt;/alt-periodical&gt;&lt;pages&gt;2455-2458&lt;/pages&gt;&lt;volume&gt;42&lt;/volume&gt;&lt;number&gt;13&lt;/number&gt;&lt;keywords&gt;&lt;keyword&gt;Optical communications&lt;/keyword&gt;&lt;keyword&gt;Diode lasers&lt;/keyword&gt;&lt;keyword&gt;Visible lasers&lt;/keyword&gt;&lt;keyword&gt;Scintillation&lt;/keyword&gt;&lt;keyword&gt;Oceanic propagation&lt;/keyword&gt;&lt;keyword&gt;Oceanic scattering&lt;/keyword&gt;&lt;keyword&gt;Laser beams&lt;/keyword&gt;&lt;keyword&gt;Optical signals&lt;/keyword&gt;&lt;keyword&gt;Optical systems&lt;/keyword&gt;&lt;keyword&gt;Optical wireless communication&lt;/keyword&gt;&lt;keyword&gt;Refractive index&lt;/keyword&gt;&lt;keyword&gt;Scintillation index&lt;/keyword&gt;&lt;/keywords&gt;&lt;dates&gt;&lt;year&gt;2017&lt;/year&gt;&lt;pub-dates&gt;&lt;date&gt;2017/07/01&lt;/date&gt;&lt;/pub-dates&gt;&lt;/dates&gt;&lt;publisher&gt;Optica Publishing Group&lt;/publisher&gt;&lt;urls&gt;&lt;related-urls&gt;&lt;url&gt;https://opg.optica.org/ol/abstract.cfm?URI=ol-42-13-2455&lt;/url&gt;&lt;/related-urls&gt;&lt;/urls&gt;&lt;electronic-resource-num&gt;10.1364/OL.42.002455&lt;/electronic-resource-num&gt;&lt;/record&gt;&lt;/Cite&gt;&lt;/EndNote&gt;</w:instrText>
      </w:r>
      <w:r>
        <w:rPr>
          <w:rFonts w:eastAsia="宋体"/>
          <w:lang w:val="en-US"/>
        </w:rPr>
        <w:fldChar w:fldCharType="separate"/>
      </w:r>
      <w:r>
        <w:rPr>
          <w:rFonts w:eastAsia="宋体"/>
          <w:lang w:val="en-US"/>
        </w:rPr>
        <w:t>[11]</w:t>
      </w:r>
      <w:r>
        <w:rPr>
          <w:rFonts w:eastAsia="宋体"/>
          <w:lang w:val="en-US"/>
        </w:rPr>
        <w:fldChar w:fldCharType="end"/>
      </w:r>
      <w:r>
        <w:rPr>
          <w:rFonts w:eastAsia="宋体"/>
          <w:lang w:val="en-US"/>
        </w:rPr>
        <w:t>, was specifically designed to describe underwater turbulence induced by temperature variations. Its probability density function is given by:</w:t>
      </w:r>
    </w:p>
    <w:p w14:paraId="6EB0F5CF">
      <w:pPr>
        <w:pStyle w:val="5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position w:val="-24"/>
        </w:rPr>
        <w:object>
          <v:shape id="_x0000_i1026" o:spt="75" type="#_x0000_t75" style="height:45pt;width:243.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MACROBUTTON MTPlaceRef \* MERGEFORMAT </w:instrTex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MTEqn \h \* MERGEFORMAT 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instrText xml:space="preserve">(</w:instrTex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MTEqn \c \* Arabic \* MERGEFORMAT </w:instrText>
      </w:r>
      <w:r>
        <w:rPr>
          <w:rFonts w:eastAsiaTheme="minorEastAsia"/>
        </w:rPr>
        <w:fldChar w:fldCharType="separate"/>
      </w:r>
      <w:r>
        <w:rPr>
          <w:rFonts w:eastAsiaTheme="minorEastAsia"/>
        </w:rPr>
        <w:instrText xml:space="preserve">2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instrText xml:space="preserve">)</w:instrText>
      </w:r>
      <w:r>
        <w:rPr>
          <w:rFonts w:eastAsiaTheme="minorEastAsia"/>
        </w:rPr>
        <w:fldChar w:fldCharType="end"/>
      </w:r>
    </w:p>
    <w:p w14:paraId="56DB2684">
      <w:pPr>
        <w:pStyle w:val="2"/>
        <w:suppressAutoHyphens/>
        <w:kinsoku w:val="0"/>
        <w:overflowPunct w:val="0"/>
        <w:spacing w:line="276" w:lineRule="auto"/>
        <w:ind w:firstLine="567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 are two shape parameters, </w:t>
      </w:r>
      <m:oMath>
        <m:r>
          <m:rPr/>
          <w:rPr>
            <w:rFonts w:ascii="Cambria Math" w:hAnsi="Cambria Math" w:eastAsiaTheme="minorEastAsia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and </w:t>
      </w:r>
      <m:oMath>
        <m:r>
          <m:rPr/>
          <w:rPr>
            <w:rFonts w:ascii="Cambria Math" w:hAnsi="Cambria Math" w:eastAsiaTheme="minorEastAsia"/>
            <w:lang w:val="en-US"/>
          </w:rPr>
          <m:t>c</m:t>
        </m:r>
      </m:oMath>
      <w:r>
        <w:rPr>
          <w:rFonts w:eastAsiaTheme="minorEastAsia"/>
          <w:lang w:val="en-US"/>
        </w:rPr>
        <w:t xml:space="preserve"> ; the scale parameter is </w:t>
      </w:r>
      <m:oMath>
        <m:r>
          <m:rPr/>
          <w:rPr>
            <w:rFonts w:ascii="Cambria Math" w:hAnsi="Cambria Math" w:eastAsiaTheme="minorEastAsia"/>
            <w:lang w:val="en-US"/>
          </w:rPr>
          <m:t>b</m:t>
        </m:r>
      </m:oMath>
      <w:r>
        <w:rPr>
          <w:rFonts w:eastAsiaTheme="minorEastAsia"/>
          <w:lang w:val="en-US"/>
        </w:rPr>
        <w:t xml:space="preserve"> ; </w:t>
      </w:r>
      <m:oMath>
        <m:r>
          <m:rPr/>
          <w:rPr>
            <w:rFonts w:ascii="Cambria Math" w:hAnsi="Cambria Math" w:eastAsiaTheme="minorEastAsia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represents the beam intensity and Γ is the gamma function.</w:t>
      </w:r>
    </w:p>
    <w:p w14:paraId="25E226B8">
      <w:pPr>
        <w:pStyle w:val="2"/>
        <w:suppressAutoHyphens/>
        <w:kinsoku w:val="0"/>
        <w:overflowPunct w:val="0"/>
        <w:spacing w:line="276" w:lineRule="auto"/>
        <w:ind w:firstLine="567"/>
        <w:jc w:val="both"/>
        <w:rPr>
          <w:rFonts w:eastAsia="宋体"/>
          <w:lang w:val="en-US"/>
        </w:rPr>
      </w:pPr>
      <w:r>
        <w:rPr>
          <w:rFonts w:eastAsia="宋体"/>
          <w:lang w:val="en-US"/>
        </w:rPr>
        <w:t>Strong turbulence is typically modeled using the highly effective Gamma-Gamma distribution. This distribution decomposes the received light intensity into the product of two independent Gamma random processes</w:t>
      </w:r>
      <w:r>
        <w:rPr>
          <w:rFonts w:hint="eastAsia" w:eastAsia="宋体"/>
          <w:lang w:val="en-US"/>
        </w:rPr>
        <w:t xml:space="preserve"> </w:t>
      </w:r>
      <w:r>
        <w:rPr>
          <w:rFonts w:eastAsia="宋体"/>
          <w:lang w:val="en-US"/>
        </w:rPr>
        <w:fldChar w:fldCharType="begin"/>
      </w:r>
      <w:r>
        <w:rPr>
          <w:rFonts w:eastAsia="宋体"/>
          <w:lang w:val="en-US"/>
        </w:rPr>
        <w:instrText xml:space="preserve"> ADDIN EN.CITE &lt;EndNote&gt;&lt;Cite&gt;&lt;Author&gt;Al-Habash&lt;/Author&gt;&lt;Year&gt;2001&lt;/Year&gt;&lt;RecNum&gt;51&lt;/RecNum&gt;&lt;DisplayText&gt;[12]&lt;/DisplayText&gt;&lt;record&gt;&lt;rec-number&gt;51&lt;/rec-number&gt;&lt;foreign-keys&gt;&lt;key app="EN" db-id="drdwtersndezpaewx5d5ffpvap0er5r5xwv5" timestamp="1720947669"&gt;51&lt;/key&gt;&lt;/foreign-keys&gt;&lt;ref-type name="Journal Article"&gt;17&lt;/ref-type&gt;&lt;contributors&gt;&lt;authors&gt;&lt;author&gt;Al-Habash, M. A.&lt;/author&gt;&lt;author&gt;Andrews, Larry C.&lt;/author&gt;&lt;author&gt;Phillips, Ronald L. &lt;/author&gt;&lt;/authors&gt;&lt;/contributors&gt;&lt;titles&gt;&lt;title&gt;Mathematical model for the irradiance probability density function of a laser beam propagating through turbulent media&lt;/title&gt;&lt;secondary-title&gt;Optical Engineering&lt;/secondary-title&gt;&lt;/titles&gt;&lt;periodical&gt;&lt;full-title&gt;Optical Engineering&lt;/full-title&gt;&lt;/periodical&gt;&lt;pages&gt;1554-1562&lt;/pages&gt;&lt;volume&gt;40&lt;/volume&gt;&lt;dates&gt;&lt;year&gt;2001&lt;/year&gt;&lt;/dates&gt;&lt;urls&gt;&lt;/urls&gt;&lt;/record&gt;&lt;/Cite&gt;&lt;/EndNote&gt;</w:instrText>
      </w:r>
      <w:r>
        <w:rPr>
          <w:rFonts w:eastAsia="宋体"/>
          <w:lang w:val="en-US"/>
        </w:rPr>
        <w:fldChar w:fldCharType="separate"/>
      </w:r>
      <w:r>
        <w:rPr>
          <w:rFonts w:eastAsia="宋体"/>
          <w:lang w:val="en-US"/>
        </w:rPr>
        <w:t>[12]</w:t>
      </w:r>
      <w:r>
        <w:rPr>
          <w:rFonts w:eastAsia="宋体"/>
          <w:lang w:val="en-US"/>
        </w:rPr>
        <w:fldChar w:fldCharType="end"/>
      </w:r>
      <w:r>
        <w:rPr>
          <w:rFonts w:hint="eastAsia" w:eastAsia="宋体"/>
          <w:lang w:val="en-US"/>
        </w:rPr>
        <w:t xml:space="preserve">. </w:t>
      </w:r>
      <w:r>
        <w:rPr>
          <w:rFonts w:eastAsia="宋体"/>
          <w:lang w:val="en-US"/>
        </w:rPr>
        <w:t>These processes represent an adequate number of largescale and small-scale scattering cells. The probability density function is expressed as follows</w:t>
      </w:r>
      <w:r>
        <w:rPr>
          <w:rFonts w:hint="eastAsia" w:eastAsia="宋体"/>
          <w:lang w:val="en-US"/>
        </w:rPr>
        <w:t>:</w:t>
      </w:r>
    </w:p>
    <w:p w14:paraId="07F1F58A">
      <w:pPr>
        <w:pStyle w:val="5"/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  <w:position w:val="-28"/>
        </w:rPr>
        <w:object>
          <v:shape id="_x0000_i1027" o:spt="75" type="#_x0000_t75" style="height:34.8pt;width:220.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eastAsia="宋体"/>
        </w:rPr>
        <w:t>.</w:t>
      </w:r>
      <w:r>
        <w:rPr>
          <w:rFonts w:eastAsia="宋体"/>
        </w:rPr>
        <w:tab/>
      </w:r>
      <w:r>
        <w:rPr>
          <w:rFonts w:eastAsia="宋体"/>
        </w:rPr>
        <w:fldChar w:fldCharType="begin"/>
      </w:r>
      <w:r>
        <w:rPr>
          <w:rFonts w:eastAsia="宋体"/>
        </w:rPr>
        <w:instrText xml:space="preserve"> MACROBUTTON MTPlaceRef \* MERGEFORMAT </w:instrText>
      </w:r>
      <w:r>
        <w:rPr>
          <w:rFonts w:eastAsia="宋体"/>
        </w:rPr>
        <w:fldChar w:fldCharType="begin"/>
      </w:r>
      <w:r>
        <w:rPr>
          <w:rFonts w:eastAsia="宋体"/>
        </w:rPr>
        <w:instrText xml:space="preserve"> SEQ MTEqn \h \* MERGEFORMAT </w:instrText>
      </w:r>
      <w:r>
        <w:rPr>
          <w:rFonts w:eastAsia="宋体"/>
        </w:rPr>
        <w:fldChar w:fldCharType="end"/>
      </w:r>
      <w:r>
        <w:rPr>
          <w:rFonts w:eastAsia="宋体"/>
        </w:rPr>
        <w:instrText xml:space="preserve">(</w:instrText>
      </w:r>
      <w:r>
        <w:rPr>
          <w:rFonts w:eastAsia="宋体"/>
        </w:rPr>
        <w:fldChar w:fldCharType="begin"/>
      </w:r>
      <w:r>
        <w:rPr>
          <w:rFonts w:eastAsia="宋体"/>
        </w:rPr>
        <w:instrText xml:space="preserve"> SEQ MTEqn \c \* Arabic \* MERGEFORMAT </w:instrText>
      </w:r>
      <w:r>
        <w:rPr>
          <w:rFonts w:eastAsia="宋体"/>
        </w:rPr>
        <w:fldChar w:fldCharType="separate"/>
      </w:r>
      <w:r>
        <w:rPr>
          <w:rFonts w:eastAsia="宋体"/>
        </w:rPr>
        <w:instrText xml:space="preserve">3</w:instrText>
      </w:r>
      <w:r>
        <w:rPr>
          <w:rFonts w:eastAsia="宋体"/>
        </w:rPr>
        <w:fldChar w:fldCharType="end"/>
      </w:r>
      <w:r>
        <w:rPr>
          <w:rFonts w:eastAsia="宋体"/>
        </w:rPr>
        <w:instrText xml:space="preserve">)</w:instrText>
      </w:r>
      <w:r>
        <w:rPr>
          <w:rFonts w:eastAsia="宋体"/>
        </w:rPr>
        <w:fldChar w:fldCharType="end"/>
      </w:r>
    </w:p>
    <w:p w14:paraId="13AA562D">
      <w:pPr>
        <w:pStyle w:val="2"/>
        <w:suppressAutoHyphens/>
        <w:kinsoku w:val="0"/>
        <w:overflowPunct w:val="0"/>
        <w:spacing w:line="276" w:lineRule="auto"/>
        <w:ind w:firstLine="567"/>
        <w:jc w:val="both"/>
        <w:rPr>
          <w:rFonts w:eastAsia="宋体"/>
          <w:lang w:val="en-US"/>
        </w:rPr>
      </w:pPr>
      <w:r>
        <w:rPr>
          <w:rFonts w:eastAsia="宋体"/>
          <w:lang w:val="en-US"/>
        </w:rPr>
        <w:t xml:space="preserve">Among them, Γ is the gamma function, </w:t>
      </w:r>
      <w:r>
        <w:rPr>
          <w:rFonts w:eastAsia="宋体"/>
          <w:i/>
          <w:iCs/>
          <w:lang w:val="en-US"/>
        </w:rPr>
        <w:t>α</w:t>
      </w:r>
      <w:r>
        <w:rPr>
          <w:rFonts w:eastAsia="宋体"/>
          <w:lang w:val="en-US"/>
        </w:rPr>
        <w:t xml:space="preserve"> and</w:t>
      </w:r>
      <w:r>
        <w:rPr>
          <w:rFonts w:hint="eastAsia" w:eastAsia="宋体"/>
          <w:lang w:val="en-US"/>
        </w:rPr>
        <w:t xml:space="preserve"> </w:t>
      </w:r>
      <w:r>
        <w:rPr>
          <w:rFonts w:eastAsia="宋体"/>
          <w:i/>
          <w:iCs/>
          <w:lang w:val="en-US"/>
        </w:rPr>
        <w:t>β</w:t>
      </w:r>
      <w:r>
        <w:rPr>
          <w:rFonts w:hint="eastAsia" w:eastAsia="宋体"/>
          <w:lang w:val="en-US"/>
        </w:rPr>
        <w:t xml:space="preserve"> </w:t>
      </w:r>
      <w:r>
        <w:rPr>
          <w:rFonts w:eastAsia="宋体"/>
          <w:lang w:val="en-US"/>
        </w:rPr>
        <w:t>represent the outer scale parameter and the inner scale parameter, respectively, and</w:t>
      </w:r>
      <w:r>
        <w:rPr>
          <w:rFonts w:hint="eastAsia" w:eastAsia="宋体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eastAsia="宋体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eastAsia="宋体"/>
                <w:lang w:val="en-US"/>
              </w:rPr>
              <m:t>K</m:t>
            </m:r>
            <m:ctrlPr>
              <w:rPr>
                <w:rFonts w:ascii="Cambria Math" w:hAnsi="Cambria Math" w:eastAsia="宋体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eastAsia="宋体"/>
                <w:lang w:val="en-US"/>
              </w:rPr>
              <m:t>α−β</m:t>
            </m:r>
            <m:ctrlPr>
              <w:rPr>
                <w:rFonts w:ascii="Cambria Math" w:hAnsi="Cambria Math" w:eastAsia="宋体"/>
                <w:i/>
                <w:lang w:val="en-US"/>
              </w:rPr>
            </m:ctrlPr>
          </m:sub>
        </m:sSub>
      </m:oMath>
      <w:r>
        <w:rPr>
          <w:rFonts w:hint="eastAsia" w:eastAsia="宋体"/>
          <w:lang w:val="en-US"/>
        </w:rPr>
        <w:t xml:space="preserve"> </w:t>
      </w:r>
      <w:r>
        <w:rPr>
          <w:rFonts w:eastAsia="宋体"/>
          <w:lang w:val="en-US"/>
        </w:rPr>
        <w:t>represents the modified Bessel function of the second kind</w:t>
      </w:r>
    </w:p>
    <w:p w14:paraId="311E393D">
      <w:pPr>
        <w:pStyle w:val="2"/>
        <w:suppressAutoHyphens/>
        <w:kinsoku w:val="0"/>
        <w:overflowPunct w:val="0"/>
        <w:spacing w:line="276" w:lineRule="auto"/>
        <w:ind w:firstLine="567"/>
        <w:jc w:val="both"/>
        <w:rPr>
          <w:rFonts w:eastAsia="宋体"/>
          <w:lang w:val="en-US"/>
        </w:rPr>
      </w:pPr>
      <w:r>
        <w:rPr>
          <w:rFonts w:eastAsia="宋体"/>
          <w:color w:val="000000"/>
          <w:szCs w:val="22"/>
          <w:lang w:val="en-US"/>
        </w:rPr>
        <w:t>The specific range for moderate turbulence remains a topic of debate, with no universally accepted definition. Various distributions can be used to model it; this paper uses the widely adopted lognormal distribution for simulation. Its probability density function is given by</w:t>
      </w:r>
      <w:r>
        <w:rPr>
          <w:rFonts w:hint="eastAsia" w:eastAsia="宋体"/>
          <w:color w:val="000000"/>
          <w:szCs w:val="22"/>
          <w:lang w:val="en-US"/>
        </w:rPr>
        <w:t xml:space="preserve"> </w:t>
      </w:r>
      <w:r>
        <w:rPr>
          <w:rFonts w:eastAsia="宋体"/>
          <w:color w:val="000000"/>
          <w:szCs w:val="22"/>
          <w:lang w:val="en-US"/>
        </w:rPr>
        <w:fldChar w:fldCharType="begin"/>
      </w:r>
      <w:r>
        <w:rPr>
          <w:rFonts w:eastAsia="宋体"/>
          <w:color w:val="000000"/>
          <w:szCs w:val="22"/>
          <w:lang w:val="en-US"/>
        </w:rPr>
        <w:instrText xml:space="preserve"> ADDIN EN.CITE &lt;EndNote&gt;&lt;Cite&gt;&lt;Author&gt;Vali&lt;/Author&gt;&lt;Year&gt;2019&lt;/Year&gt;&lt;RecNum&gt;52&lt;/RecNum&gt;&lt;DisplayText&gt;[13]&lt;/DisplayText&gt;&lt;record&gt;&lt;rec-number&gt;52&lt;/rec-number&gt;&lt;foreign-keys&gt;&lt;key app="EN" db-id="drdwtersndezpaewx5d5ffpvap0er5r5xwv5" timestamp="1720947744"&gt;52&lt;/key&gt;&lt;/foreign-keys&gt;&lt;ref-type name="Journal Article"&gt;17&lt;/ref-type&gt;&lt;contributors&gt;&lt;authors&gt;&lt;author&gt;Vali, Zahra&lt;/author&gt;&lt;author&gt;Gholami, Asghar&lt;/author&gt;&lt;author&gt;Ghassemlooy, Zabih&lt;/author&gt;&lt;author&gt;Michelson, David G&lt;/author&gt;&lt;/authors&gt;&lt;/contributors&gt;&lt;titles&gt;&lt;title&gt;System parameters effect on the turbulent underwater optical wireless communications link&lt;/title&gt;&lt;secondary-title&gt;Optik&lt;/secondary-title&gt;&lt;/titles&gt;&lt;periodical&gt;&lt;full-title&gt;Optik&lt;/full-title&gt;&lt;/periodical&gt;&lt;pages&gt;163153&lt;/pages&gt;&lt;volume&gt;198&lt;/volume&gt;&lt;keywords&gt;&lt;keyword&gt;Underwater optical wireless communications&lt;/keyword&gt;&lt;keyword&gt;Turbulence&lt;/keyword&gt;&lt;keyword&gt;Probability density function&lt;/keyword&gt;&lt;keyword&gt;Scintillation index&lt;/keyword&gt;&lt;/keywords&gt;&lt;dates&gt;&lt;year&gt;2019&lt;/year&gt;&lt;pub-dates&gt;&lt;date&gt;2019/12/01/&lt;/date&gt;&lt;/pub-dates&gt;&lt;/dates&gt;&lt;isbn&gt;0030-4026&lt;/isbn&gt;&lt;urls&gt;&lt;related-urls&gt;&lt;url&gt;https://www.sciencedirect.com/science/article/pii/S0030402619310435&lt;/url&gt;&lt;/related-urls&gt;&lt;/urls&gt;&lt;electronic-resource-num&gt;https://doi.org/10.1016/j.ijleo.2019.163153&lt;/electronic-resource-num&gt;&lt;/record&gt;&lt;/Cite&gt;&lt;/EndNote&gt;</w:instrText>
      </w:r>
      <w:r>
        <w:rPr>
          <w:rFonts w:eastAsia="宋体"/>
          <w:color w:val="000000"/>
          <w:szCs w:val="22"/>
          <w:lang w:val="en-US"/>
        </w:rPr>
        <w:fldChar w:fldCharType="separate"/>
      </w:r>
      <w:r>
        <w:rPr>
          <w:rFonts w:eastAsia="宋体"/>
          <w:color w:val="000000"/>
          <w:szCs w:val="22"/>
          <w:lang w:val="en-US"/>
        </w:rPr>
        <w:t>[13]</w:t>
      </w:r>
      <w:r>
        <w:rPr>
          <w:rFonts w:eastAsia="宋体"/>
          <w:color w:val="000000"/>
          <w:szCs w:val="22"/>
          <w:lang w:val="en-US"/>
        </w:rPr>
        <w:fldChar w:fldCharType="end"/>
      </w:r>
      <w:r>
        <w:rPr>
          <w:rFonts w:hint="eastAsia" w:eastAsia="宋体"/>
          <w:color w:val="000000"/>
          <w:szCs w:val="22"/>
          <w:lang w:val="en-US"/>
        </w:rPr>
        <w:t>:</w:t>
      </w:r>
    </w:p>
    <w:p w14:paraId="1B4EF28A">
      <w:pPr>
        <w:pStyle w:val="5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position w:val="-74"/>
        </w:rPr>
        <w:object>
          <v:shape id="_x0000_i1028" o:spt="75" type="#_x0000_t75" style="height:79.8pt;width:232.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MACROBUTTON MTPlaceRef \* MERGEFORMAT </w:instrTex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MTEqn \h \* MERGEFORMAT 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instrText xml:space="preserve">(</w:instrTex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MTEqn \c \* Arabic \* MERGEFORMAT </w:instrText>
      </w:r>
      <w:r>
        <w:rPr>
          <w:rFonts w:eastAsiaTheme="minorEastAsia"/>
        </w:rPr>
        <w:fldChar w:fldCharType="separate"/>
      </w:r>
      <w:r>
        <w:rPr>
          <w:rFonts w:eastAsiaTheme="minorEastAsia"/>
        </w:rPr>
        <w:instrText xml:space="preserve">4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instrText xml:space="preserve">)</w:instrText>
      </w:r>
      <w:r>
        <w:rPr>
          <w:rFonts w:eastAsiaTheme="minorEastAsia"/>
        </w:rPr>
        <w:fldChar w:fldCharType="end"/>
      </w:r>
    </w:p>
    <w:p w14:paraId="74B154E5">
      <w:pPr>
        <w:pStyle w:val="2"/>
        <w:suppressAutoHyphens/>
        <w:kinsoku w:val="0"/>
        <w:overflowPunct w:val="0"/>
        <w:spacing w:line="276" w:lineRule="auto"/>
        <w:ind w:firstLine="567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en-US"/>
              </w:rPr>
              <m:t>I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en-US"/>
              </w:rPr>
              <m:t>0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sub>
        </m:sSub>
      </m:oMath>
      <w:r>
        <w:rPr>
          <w:rFonts w:eastAsiaTheme="minorEastAsia"/>
          <w:lang w:val="en-US"/>
        </w:rPr>
        <w:t xml:space="preserve"> represents the average received light intensity, while </w:t>
      </w:r>
      <m:oMath>
        <m:sSup>
          <m:sSup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pPr>
          <m:e>
            <m:r>
              <m:rPr/>
              <w:rPr>
                <w:rFonts w:ascii="Cambria Math" w:hAnsi="Cambria Math" w:eastAsiaTheme="minorEastAsia"/>
                <w:lang w:val="en-US"/>
              </w:rPr>
              <m:t>δ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  <m:sup>
            <m:r>
              <m:rPr/>
              <w:rPr>
                <w:rFonts w:ascii="Cambria Math" w:hAnsi="Cambria Math" w:eastAsiaTheme="minorEastAsia"/>
                <w:lang w:val="en-US"/>
              </w:rPr>
              <m:t>2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sup>
        </m:sSup>
      </m:oMath>
      <w:r>
        <w:rPr>
          <w:rFonts w:eastAsiaTheme="minorEastAsia"/>
          <w:lang w:val="en-US"/>
        </w:rPr>
        <w:t xml:space="preserve"> denotes the scintillation index. I represents the beam intensity. The scintillation index can be calculated as the ratio of the standard deviation of light intensity fluctuations to the average light intensity</w:t>
      </w:r>
      <w:r>
        <w:rPr>
          <w:rFonts w:hint="eastAsia" w:eastAsiaTheme="minorEastAsia"/>
          <w:lang w:val="en-US"/>
        </w:rPr>
        <w:t>:</w:t>
      </w:r>
    </w:p>
    <w:p w14:paraId="3394E346">
      <w:pPr>
        <w:pStyle w:val="5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position w:val="-20"/>
        </w:rPr>
        <w:object>
          <v:shape id="_x0000_i1029" o:spt="75" type="#_x0000_t75" style="height:26.4pt;width:115.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MACROBUTTON MTPlaceRef \* MERGEFORMAT </w:instrTex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MTEqn \h \* MERGEFORMAT 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instrText xml:space="preserve">(</w:instrTex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MTEqn \c \* Arabic \* MERGEFORMAT </w:instrText>
      </w:r>
      <w:r>
        <w:rPr>
          <w:rFonts w:eastAsiaTheme="minorEastAsia"/>
        </w:rPr>
        <w:fldChar w:fldCharType="separate"/>
      </w:r>
      <w:r>
        <w:rPr>
          <w:rFonts w:eastAsiaTheme="minorEastAsia"/>
        </w:rPr>
        <w:instrText xml:space="preserve">5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instrText xml:space="preserve">)</w:instrText>
      </w:r>
      <w:r>
        <w:rPr>
          <w:rFonts w:eastAsiaTheme="minorEastAsia"/>
        </w:rPr>
        <w:fldChar w:fldCharType="end"/>
      </w:r>
    </w:p>
    <w:p w14:paraId="32AE1698">
      <w:pPr>
        <w:pStyle w:val="2"/>
        <w:suppressAutoHyphens/>
        <w:kinsoku w:val="0"/>
        <w:overflowPunct w:val="0"/>
        <w:spacing w:line="276" w:lineRule="auto"/>
        <w:ind w:firstLine="567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Among them, </w:t>
      </w:r>
      <m:oMath>
        <m:d>
          <m:dPr>
            <m:begChr m:val="〈"/>
            <m:endChr m:val="〉"/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 w:eastAsiaTheme="minorEastAsia"/>
                <w:lang w:val="en-US"/>
              </w:rPr>
              <m:t>I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d>
      </m:oMath>
      <w:r>
        <w:rPr>
          <w:rFonts w:eastAsiaTheme="minorEastAsia"/>
          <w:lang w:val="en-US"/>
        </w:rPr>
        <w:t xml:space="preserve"> represents the statistical average and </w:t>
      </w:r>
      <w:r>
        <w:rPr>
          <w:rFonts w:eastAsiaTheme="minorEastAsia"/>
          <w:i/>
          <w:iCs/>
          <w:lang w:val="en-US"/>
        </w:rPr>
        <w:t>I</w:t>
      </w:r>
      <w:r>
        <w:rPr>
          <w:rFonts w:eastAsiaTheme="minorEastAsia"/>
          <w:lang w:val="en-US"/>
        </w:rPr>
        <w:t xml:space="preserve"> represents the random light intensity of the light beam. This paper initially classifies the strength of turbulence, with </w:t>
      </w:r>
      <m:oMath>
        <m:sSup>
          <m:sSup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pPr>
          <m:e>
            <m:r>
              <m:rPr/>
              <w:rPr>
                <w:rFonts w:ascii="Cambria Math" w:hAnsi="Cambria Math" w:eastAsiaTheme="minorEastAsia"/>
                <w:lang w:val="en-US"/>
              </w:rPr>
              <m:t>δ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  <m:sup>
            <m:r>
              <m:rPr/>
              <w:rPr>
                <w:rFonts w:ascii="Cambria Math" w:hAnsi="Cambria Math" w:eastAsiaTheme="minorEastAsia"/>
                <w:lang w:val="en-US"/>
              </w:rPr>
              <m:t>2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sup>
        </m:sSup>
        <m:r>
          <m:rPr/>
          <w:rPr>
            <w:rFonts w:ascii="Cambria Math" w:hAnsi="Cambria Math" w:eastAsiaTheme="minorEastAsia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serving as the threshold boundary</w:t>
      </w:r>
      <w:r>
        <w:rPr>
          <w:rFonts w:hint="eastAsia"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fldChar w:fldCharType="begin"/>
      </w:r>
      <w:r>
        <w:rPr>
          <w:rFonts w:eastAsiaTheme="minorEastAsia"/>
          <w:lang w:val="en-US"/>
        </w:rPr>
        <w:instrText xml:space="preserve"> ADDIN EN.CITE &lt;EndNote&gt;&lt;Cite&gt;&lt;Author&gt;Korotkova&lt;/Author&gt;&lt;Year&gt;2012&lt;/Year&gt;&lt;RecNum&gt;46&lt;/RecNum&gt;&lt;DisplayText&gt;[14]&lt;/DisplayText&gt;&lt;record&gt;&lt;rec-number&gt;46&lt;/rec-number&gt;&lt;foreign-keys&gt;&lt;key app="EN" db-id="drdwtersndezpaewx5d5ffpvap0er5r5xwv5" timestamp="1720947110"&gt;46&lt;/key&gt;&lt;/foreign-keys&gt;&lt;ref-type name="Journal Article"&gt;17&lt;/ref-type&gt;&lt;contributors&gt;&lt;authors&gt;&lt;author&gt;Korotkova, Olga&lt;/author&gt;&lt;author&gt;Farwell, Nathan H&lt;/author&gt;&lt;author&gt;Shchepakina, Elena &lt;/author&gt;&lt;/authors&gt;&lt;/contributors&gt;&lt;titles&gt;&lt;title&gt;Light scintillation in oceanic turbulence&lt;/title&gt;&lt;secondary-title&gt;Waves in Random and Complex Media&lt;/secondary-title&gt;&lt;/titles&gt;&lt;periodical&gt;&lt;full-title&gt;Waves in Random and Complex Media&lt;/full-title&gt;&lt;/periodical&gt;&lt;pages&gt;260 - 266&lt;/pages&gt;&lt;volume&gt;22&lt;/volume&gt;&lt;dates&gt;&lt;year&gt;2012&lt;/year&gt;&lt;/dates&gt;&lt;urls&gt;&lt;/urls&gt;&lt;/record&gt;&lt;/Cite&gt;&lt;/EndNote&gt;</w:instrText>
      </w:r>
      <w:r>
        <w:rPr>
          <w:rFonts w:eastAsiaTheme="minorEastAsia"/>
          <w:lang w:val="en-US"/>
        </w:rPr>
        <w:fldChar w:fldCharType="separate"/>
      </w:r>
      <w:r>
        <w:rPr>
          <w:rFonts w:eastAsiaTheme="minorEastAsia"/>
          <w:lang w:val="en-US"/>
        </w:rPr>
        <w:t>[14]</w:t>
      </w:r>
      <w:r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>,</w:t>
      </w:r>
      <w:r>
        <w:rPr>
          <w:rFonts w:hint="eastAsia"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with </w:t>
      </w:r>
      <m:oMath>
        <m:sSup>
          <m:sSup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pPr>
          <m:e>
            <m:r>
              <m:rPr/>
              <w:rPr>
                <w:rFonts w:ascii="Cambria Math" w:hAnsi="Cambria Math" w:eastAsiaTheme="minorEastAsia"/>
                <w:lang w:val="en-US"/>
              </w:rPr>
              <m:t>δ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  <m:sup>
            <m:r>
              <m:rPr/>
              <w:rPr>
                <w:rFonts w:ascii="Cambria Math" w:hAnsi="Cambria Math" w:eastAsiaTheme="minorEastAsia"/>
                <w:lang w:val="en-US"/>
              </w:rPr>
              <m:t>2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sup>
        </m:sSup>
        <m:r>
          <m:rPr/>
          <w:rPr>
            <w:rFonts w:ascii="Cambria Math" w:hAnsi="Cambria Math" w:eastAsiaTheme="minorEastAsia"/>
            <w:lang w:val="en-US"/>
          </w:rPr>
          <m:t>&gt;1</m:t>
        </m:r>
      </m:oMath>
      <w:r>
        <w:rPr>
          <w:rFonts w:eastAsiaTheme="minorEastAsia"/>
          <w:lang w:val="en-US"/>
        </w:rPr>
        <w:t xml:space="preserve"> considered strong turbulence.</w:t>
      </w:r>
      <w:r>
        <w:rPr>
          <w:rFonts w:hint="eastAsia"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When </w:t>
      </w:r>
      <m:oMath>
        <m:sSup>
          <m:sSup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pPr>
          <m:e>
            <m:r>
              <m:rPr/>
              <w:rPr>
                <w:rFonts w:ascii="Cambria Math" w:hAnsi="Cambria Math" w:eastAsiaTheme="minorEastAsia"/>
                <w:lang w:val="en-US"/>
              </w:rPr>
              <m:t>δ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  <m:sup>
            <m:r>
              <m:rPr/>
              <w:rPr>
                <w:rFonts w:ascii="Cambria Math" w:hAnsi="Cambria Math" w:eastAsiaTheme="minorEastAsia"/>
                <w:lang w:val="en-US"/>
              </w:rPr>
              <m:t>2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sup>
        </m:sSup>
        <m:r>
          <m:rPr/>
          <w:rPr>
            <w:rFonts w:ascii="Cambria Math" w:hAnsi="Cambria Math" w:eastAsiaTheme="minorEastAsia"/>
            <w:lang w:val="en-US"/>
          </w:rPr>
          <m:t>&lt;1</m:t>
        </m:r>
      </m:oMath>
      <w:r>
        <w:rPr>
          <w:rFonts w:eastAsiaTheme="minorEastAsia"/>
          <w:lang w:val="en-US"/>
        </w:rPr>
        <w:t xml:space="preserve"> , the lognormal distribution is commonly use</w:t>
      </w:r>
      <w:r>
        <w:rPr>
          <w:rFonts w:hint="eastAsia"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fldChar w:fldCharType="begin"/>
      </w:r>
      <w:r>
        <w:rPr>
          <w:rFonts w:eastAsiaTheme="minorEastAsia"/>
          <w:lang w:val="en-US"/>
        </w:rPr>
        <w:instrText xml:space="preserve"> ADDIN EN.CITE &lt;EndNote&gt;&lt;Cite&gt;&lt;Author&gt;Jiang&lt;/Author&gt;&lt;Year&gt;2020&lt;/Year&gt;&lt;RecNum&gt;47&lt;/RecNum&gt;&lt;DisplayText&gt;[15, 16]&lt;/DisplayText&gt;&lt;record&gt;&lt;rec-number&gt;47&lt;/rec-number&gt;&lt;foreign-keys&gt;&lt;key app="EN" db-id="drdwtersndezpaewx5d5ffpvap0er5r5xwv5" timestamp="1720947177"&gt;47&lt;/key&gt;&lt;/foreign-keys&gt;&lt;ref-type name="Journal Article"&gt;17&lt;/ref-type&gt;&lt;contributors&gt;&lt;authors&gt;&lt;author&gt;Jiang, Hongyan&lt;/author&gt;&lt;author&gt;Qiu, Hongbing&lt;/author&gt;&lt;author&gt;He, Ning&lt;/author&gt;&lt;author&gt;Zhao, Zhonghua&lt;/author&gt;&lt;author&gt;Popoola, Wasiu&lt;/author&gt;&lt;author&gt;Ahmad, Zahir,  et al.&lt;/author&gt;&lt;/authors&gt;&lt;/contributors&gt;&lt;titles&gt;&lt;title&gt;LDPC-Coded CAP with Spatial Diversity for UVLC Systems over Generalized-Gamma Fading Channel&lt;/title&gt;&lt;secondary-title&gt;Sensors&lt;/secondary-title&gt;&lt;/titles&gt;&lt;periodical&gt;&lt;full-title&gt;Sensors&lt;/full-title&gt;&lt;/periodical&gt;&lt;pages&gt;3378&lt;/pages&gt;&lt;volume&gt;20&lt;/volume&gt;&lt;number&gt;12&lt;/number&gt;&lt;dates&gt;&lt;year&gt;2020&lt;/year&gt;&lt;/dates&gt;&lt;isbn&gt;1424-8220&lt;/isbn&gt;&lt;accession-num&gt;doi:10.3390/s20123378&lt;/accession-num&gt;&lt;urls&gt;&lt;related-urls&gt;&lt;url&gt;https://www.mdpi.com/1424-8220/20/12/3378&lt;/url&gt;&lt;/related-urls&gt;&lt;/urls&gt;&lt;/record&gt;&lt;/Cite&gt;&lt;Cite&gt;&lt;Author&gt;Kolawole&lt;/Author&gt;&lt;Year&gt;2022&lt;/Year&gt;&lt;RecNum&gt;48&lt;/RecNum&gt;&lt;record&gt;&lt;rec-number&gt;48&lt;/rec-number&gt;&lt;foreign-keys&gt;&lt;key app="EN" db-id="drdwtersndezpaewx5d5ffpvap0er5r5xwv5" timestamp="1720947349"&gt;48&lt;/key&gt;&lt;/foreign-keys&gt;&lt;ref-type name="Journal Article"&gt;17&lt;/ref-type&gt;&lt;contributors&gt;&lt;authors&gt;&lt;author&gt;Kolawole, Olabamidele O.&lt;/author&gt;&lt;author&gt;Afullo, Thomas J. O.&lt;/author&gt;&lt;author&gt;Mosalaosi, Modisa&lt;/author&gt;&lt;/authors&gt;&lt;/contributors&gt;&lt;titles&gt;&lt;title&gt;Analysis of Scintillation Effects on Free Space Optical Communication Links in South Africa&lt;/title&gt;&lt;secondary-title&gt;Photonics&lt;/secondary-title&gt;&lt;/titles&gt;&lt;periodical&gt;&lt;full-title&gt;Photonics&lt;/full-title&gt;&lt;/periodical&gt;&lt;pages&gt;446&lt;/pages&gt;&lt;volume&gt;9&lt;/volume&gt;&lt;number&gt;7&lt;/number&gt;&lt;dates&gt;&lt;year&gt;2022&lt;/year&gt;&lt;/dates&gt;&lt;isbn&gt;2304-6732&lt;/isbn&gt;&lt;accession-num&gt;doi:10.3390/photonics9070446&lt;/accession-num&gt;&lt;urls&gt;&lt;related-urls&gt;&lt;url&gt;https://www.mdpi.com/2304-6732/9/7/446&lt;/url&gt;&lt;/related-urls&gt;&lt;/urls&gt;&lt;/record&gt;&lt;/Cite&gt;&lt;/EndNote&gt;</w:instrText>
      </w:r>
      <w:r>
        <w:rPr>
          <w:rFonts w:eastAsiaTheme="minorEastAsia"/>
          <w:lang w:val="en-US"/>
        </w:rPr>
        <w:fldChar w:fldCharType="separate"/>
      </w:r>
      <w:r>
        <w:rPr>
          <w:rFonts w:eastAsiaTheme="minorEastAsia"/>
          <w:lang w:val="en-US"/>
        </w:rPr>
        <w:t>[15, 16]</w:t>
      </w:r>
      <w:r>
        <w:rPr>
          <w:rFonts w:eastAsiaTheme="minorEastAsia"/>
          <w:lang w:val="en-US"/>
        </w:rPr>
        <w:fldChar w:fldCharType="end"/>
      </w:r>
      <w:r>
        <w:rPr>
          <w:rFonts w:hint="eastAsia"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 xml:space="preserve">and when </w:t>
      </w:r>
      <m:oMath>
        <m:sSup>
          <m:sSup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pPr>
          <m:e>
            <m:r>
              <m:rPr/>
              <w:rPr>
                <w:rFonts w:ascii="Cambria Math" w:hAnsi="Cambria Math" w:eastAsiaTheme="minorEastAsia"/>
                <w:lang w:val="en-US"/>
              </w:rPr>
              <m:t>δ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  <m:sup>
            <m:r>
              <m:rPr/>
              <w:rPr>
                <w:rFonts w:ascii="Cambria Math" w:hAnsi="Cambria Math" w:eastAsiaTheme="minorEastAsia"/>
                <w:lang w:val="en-US"/>
              </w:rPr>
              <m:t>2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sup>
        </m:sSup>
        <m:r>
          <m:rPr/>
          <w:rPr>
            <w:rFonts w:ascii="Cambria Math" w:hAnsi="Cambria Math" w:eastAsiaTheme="minorEastAsia"/>
            <w:lang w:val="en-US"/>
          </w:rPr>
          <m:t>&lt;0.11</m:t>
        </m:r>
      </m:oMath>
      <w:r>
        <w:rPr>
          <w:rFonts w:eastAsiaTheme="minorEastAsia"/>
          <w:lang w:val="en-US"/>
        </w:rPr>
        <w:t xml:space="preserve"> , the generalized gamma distribu-tion performs better,</w:t>
      </w:r>
      <w:r>
        <w:rPr>
          <w:rFonts w:hint="eastAsia"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pPr>
          <m:e>
            <m:r>
              <m:rPr/>
              <w:rPr>
                <w:rFonts w:ascii="Cambria Math" w:hAnsi="Cambria Math" w:eastAsiaTheme="minorEastAsia"/>
                <w:lang w:val="en-US"/>
              </w:rPr>
              <m:t>δ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  <m:sup>
            <m:r>
              <m:rPr/>
              <w:rPr>
                <w:rFonts w:ascii="Cambria Math" w:hAnsi="Cambria Math" w:eastAsiaTheme="minorEastAsia"/>
                <w:lang w:val="en-US"/>
              </w:rPr>
              <m:t>2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sup>
        </m:sSup>
        <m:r>
          <m:rPr/>
          <w:rPr>
            <w:rFonts w:ascii="Cambria Math" w:hAnsi="Cambria Math" w:eastAsiaTheme="minorEastAsia"/>
            <w:lang w:val="en-US"/>
          </w:rPr>
          <m:t>&lt;0.11</m:t>
        </m:r>
      </m:oMath>
      <w:r>
        <w:rPr>
          <w:rFonts w:hint="eastAsia"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is considered as weak turbulence, while other cases are regarded as moderate turbulence.</w:t>
      </w:r>
    </w:p>
    <w:p w14:paraId="079DA308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mZDQyYjcwMDZlNWE3MTU2NmMzYWY3OWM3MzE0ZWQifQ=="/>
  </w:docVars>
  <w:rsids>
    <w:rsidRoot w:val="5AE7628C"/>
    <w:rsid w:val="005F0B2F"/>
    <w:rsid w:val="03BF52F3"/>
    <w:rsid w:val="0EC215F4"/>
    <w:rsid w:val="11DD153A"/>
    <w:rsid w:val="184D2428"/>
    <w:rsid w:val="1A7A0001"/>
    <w:rsid w:val="1B6177C5"/>
    <w:rsid w:val="20063795"/>
    <w:rsid w:val="25A72818"/>
    <w:rsid w:val="2A9E616C"/>
    <w:rsid w:val="2C1903A1"/>
    <w:rsid w:val="2EF47AF4"/>
    <w:rsid w:val="30D869A4"/>
    <w:rsid w:val="31877765"/>
    <w:rsid w:val="396B4DB7"/>
    <w:rsid w:val="3BE473AB"/>
    <w:rsid w:val="3F0D5EEC"/>
    <w:rsid w:val="3F5E060A"/>
    <w:rsid w:val="3FD56225"/>
    <w:rsid w:val="41CB62C6"/>
    <w:rsid w:val="432D62D2"/>
    <w:rsid w:val="46D53A50"/>
    <w:rsid w:val="4A907B6A"/>
    <w:rsid w:val="4CBD0758"/>
    <w:rsid w:val="51E6149E"/>
    <w:rsid w:val="55E0577C"/>
    <w:rsid w:val="560E1E9D"/>
    <w:rsid w:val="579C377C"/>
    <w:rsid w:val="590F7C32"/>
    <w:rsid w:val="5AE7628C"/>
    <w:rsid w:val="5B627A66"/>
    <w:rsid w:val="605303BC"/>
    <w:rsid w:val="659677BE"/>
    <w:rsid w:val="69025591"/>
    <w:rsid w:val="6C455AAA"/>
    <w:rsid w:val="72D31B4A"/>
    <w:rsid w:val="7A424B09"/>
    <w:rsid w:val="7C7C0233"/>
    <w:rsid w:val="7DA25F3F"/>
    <w:rsid w:val="7F7B2687"/>
    <w:rsid w:val="7F7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20"/>
      <w:szCs w:val="20"/>
      <w:lang w:val="zh-CN"/>
    </w:rPr>
  </w:style>
  <w:style w:type="paragraph" w:customStyle="1" w:styleId="5">
    <w:name w:val="MTDisplayEquation"/>
    <w:basedOn w:val="2"/>
    <w:next w:val="1"/>
    <w:qFormat/>
    <w:uiPriority w:val="0"/>
    <w:pPr>
      <w:tabs>
        <w:tab w:val="center" w:pos="4760"/>
        <w:tab w:val="right" w:pos="9520"/>
      </w:tabs>
      <w:kinsoku w:val="0"/>
      <w:overflowPunct w:val="0"/>
      <w:ind w:firstLine="567"/>
      <w:jc w:val="both"/>
    </w:pPr>
    <w:rPr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2025-04-10T01:50:00Z</dcterms:created>
  <dc:creator>陈卫江</dc:creator>
  <cp:lastModifiedBy>陈卫江</cp:lastModifiedBy>
  <dcterms:modified xsi:type="dcterms:W3CDTF">2025-04-10T01:51:26Z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3F7282E24904431FA34C3176111273C7_11</vt:lpwstr>
  </property>
</Properties>
</file>