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25A3A">
      <w:pPr>
        <w:spacing w:before="1960"/>
        <w:jc w:val="center"/>
      </w:pPr>
      <w:r>
        <w:rPr>
          <w:rFonts w:ascii="微软雅黑" w:hAnsi="微软雅黑" w:eastAsia="微软雅黑"/>
          <w:b/>
          <w:color w:val="0F534C"/>
          <w:sz w:val="56"/>
        </w:rPr>
        <w:t>督办全流程设计方案</w:t>
      </w:r>
    </w:p>
    <w:p w14:paraId="58AA69F3">
      <w:pPr>
        <w:jc w:val="center"/>
      </w:pPr>
      <w:r>
        <w:rPr>
          <w:rFonts w:ascii="微软雅黑" w:hAnsi="微软雅黑" w:eastAsia="微软雅黑"/>
          <w:b w:val="0"/>
          <w:color w:val="5A6978"/>
          <w:sz w:val="32"/>
        </w:rPr>
        <w:t>领导汇报版｜含流程图</w:t>
      </w:r>
    </w:p>
    <w:p w14:paraId="602C7E9D">
      <w:pPr>
        <w:spacing w:before="560"/>
        <w:jc w:val="center"/>
      </w:pPr>
      <w:r>
        <w:rPr>
          <w:rFonts w:ascii="微软雅黑" w:hAnsi="微软雅黑" w:eastAsia="微软雅黑"/>
          <w:b w:val="0"/>
          <w:sz w:val="24"/>
        </w:rPr>
        <w:t>覆盖个人发起、领导发起、部门发起三类督办场景</w:t>
      </w:r>
    </w:p>
    <w:p w14:paraId="7520D9A6">
      <w:pPr>
        <w:spacing w:before="3000"/>
        <w:jc w:val="center"/>
      </w:pPr>
      <w:r>
        <w:rPr>
          <w:rFonts w:ascii="微软雅黑" w:hAnsi="微软雅黑" w:eastAsia="微软雅黑"/>
          <w:b w:val="0"/>
          <w:color w:val="5A6978"/>
          <w:sz w:val="22"/>
        </w:rPr>
        <w:t>2026年6月</w:t>
      </w:r>
    </w:p>
    <w:p w14:paraId="1EB4DB1F">
      <w:r>
        <w:br w:type="page"/>
      </w:r>
    </w:p>
    <w:p w14:paraId="2710B2D6">
      <w:pPr>
        <w:pStyle w:val="3"/>
      </w:pPr>
      <w:r>
        <w:rPr>
          <w:rFonts w:ascii="微软雅黑" w:hAnsi="微软雅黑" w:eastAsia="微软雅黑"/>
          <w:b/>
          <w:color w:val="0F534C"/>
          <w:sz w:val="32"/>
        </w:rPr>
        <w:t>一、方案摘要</w:t>
      </w:r>
    </w:p>
    <w:tbl>
      <w:tblPr>
        <w:tblStyle w:val="35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4B2BDC3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4" w:type="dxa"/>
            <w:shd w:val="clear" w:color="auto" w:fill="E8F5F3"/>
          </w:tcPr>
          <w:p w14:paraId="01365B91">
            <w:pPr>
              <w:spacing w:after="60" w:line="240" w:lineRule="auto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/>
                <w:color w:val="0F534C"/>
                <w:sz w:val="22"/>
              </w:rPr>
              <w:t>建设目标</w:t>
            </w:r>
          </w:p>
          <w:p w14:paraId="0AA0F3D7">
            <w:pPr>
              <w:spacing w:after="0" w:line="300" w:lineRule="auto"/>
              <w:rPr>
                <w:color w:val="376092" w:themeColor="accent1" w:themeShade="BF"/>
              </w:rPr>
            </w:pPr>
            <w:r>
              <w:rPr>
                <w:rFonts w:ascii="微软雅黑" w:hAnsi="微软雅黑" w:eastAsia="微软雅黑"/>
                <w:b w:val="0"/>
                <w:color w:val="376092" w:themeColor="accent1" w:themeShade="BF"/>
                <w:sz w:val="21"/>
              </w:rPr>
              <w:t>建立一套覆盖发起、审批/确认、派发、签收、执行反馈、异常处理、验收、评分、归档的督办闭环机制。重点解决事项派发后无人签收、责任人拒收、延期无审批、转办无闭环、催办无留痕、领导批示无法落地等管理痛点。</w:t>
            </w:r>
          </w:p>
        </w:tc>
      </w:tr>
    </w:tbl>
    <w:p w14:paraId="6A7BE17F"/>
    <w:p w14:paraId="2414B5B0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本方案将督办事项作为独立的管理对象，不依赖某一个具体 OA 审批流程。无论事项来自个人、领导还是部门，只要进入督办体系，就必须具备责任人、完成时限、过程反馈、异常处理、亮灯预警、验收评分和归档记录。</w:t>
      </w:r>
    </w:p>
    <w:p w14:paraId="3BA2838E">
      <w:pPr>
        <w:spacing w:before="40" w:after="80"/>
      </w:pPr>
      <w:r>
        <w:rPr>
          <w:rFonts w:ascii="微软雅黑" w:hAnsi="微软雅黑" w:eastAsia="微软雅黑"/>
          <w:b/>
          <w:color w:val="0F534C"/>
          <w:sz w:val="21"/>
        </w:rPr>
        <w:t>图 1：督办总体流转主线</w:t>
      </w:r>
    </w:p>
    <w:p w14:paraId="1C97F451">
      <w:pPr>
        <w:spacing w:after="160"/>
        <w:jc w:val="center"/>
      </w:pPr>
      <w:r>
        <w:drawing>
          <wp:inline distT="0" distB="0" distL="114300" distR="114300">
            <wp:extent cx="6341110" cy="4923155"/>
            <wp:effectExtent l="0" t="0" r="2540" b="1079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492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84062">
      <w:pPr>
        <w:pStyle w:val="3"/>
      </w:pPr>
      <w:r>
        <w:rPr>
          <w:rFonts w:ascii="微软雅黑" w:hAnsi="微软雅黑" w:eastAsia="微软雅黑"/>
          <w:b/>
          <w:color w:val="0F534C"/>
          <w:sz w:val="32"/>
        </w:rPr>
        <w:t>二、三类督办流程概览</w:t>
      </w:r>
    </w:p>
    <w:tbl>
      <w:tblPr>
        <w:tblStyle w:val="4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2928"/>
        <w:gridCol w:w="3070"/>
        <w:gridCol w:w="2498"/>
      </w:tblGrid>
      <w:tr w14:paraId="4B9669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0F766E"/>
            <w:vAlign w:val="center"/>
          </w:tcPr>
          <w:p w14:paraId="58F6207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流程类型</w:t>
            </w:r>
          </w:p>
        </w:tc>
        <w:tc>
          <w:tcPr>
            <w:tcW w:w="2952" w:type="dxa"/>
            <w:shd w:val="clear" w:color="auto" w:fill="0F766E"/>
            <w:vAlign w:val="center"/>
          </w:tcPr>
          <w:p w14:paraId="16ABD95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适用场景</w:t>
            </w:r>
          </w:p>
        </w:tc>
        <w:tc>
          <w:tcPr>
            <w:tcW w:w="3096" w:type="dxa"/>
            <w:shd w:val="clear" w:color="auto" w:fill="0F766E"/>
            <w:vAlign w:val="center"/>
          </w:tcPr>
          <w:p w14:paraId="7ACF87D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关键控制点</w:t>
            </w:r>
          </w:p>
        </w:tc>
        <w:tc>
          <w:tcPr>
            <w:tcW w:w="2520" w:type="dxa"/>
            <w:shd w:val="clear" w:color="auto" w:fill="0F766E"/>
            <w:vAlign w:val="center"/>
          </w:tcPr>
          <w:p w14:paraId="662B38A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闭环要求</w:t>
            </w:r>
          </w:p>
        </w:tc>
      </w:tr>
      <w:tr w14:paraId="75212C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F8ADD3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个人发起督办</w:t>
            </w:r>
          </w:p>
        </w:tc>
        <w:tc>
          <w:tcPr>
            <w:tcW w:w="2952" w:type="dxa"/>
            <w:vAlign w:val="center"/>
          </w:tcPr>
          <w:p w14:paraId="044EF6FD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员工发现跨部门事项、长期未推动事项、本人事项需正式跟踪</w:t>
            </w:r>
          </w:p>
        </w:tc>
        <w:tc>
          <w:tcPr>
            <w:tcW w:w="3096" w:type="dxa"/>
            <w:vAlign w:val="center"/>
          </w:tcPr>
          <w:p w14:paraId="3FB4F910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发起后必须审批；审批通过后才允许派发</w:t>
            </w:r>
          </w:p>
        </w:tc>
        <w:tc>
          <w:tcPr>
            <w:tcW w:w="2520" w:type="dxa"/>
            <w:vAlign w:val="center"/>
          </w:tcPr>
          <w:p w14:paraId="67BC4BD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验收通过并评分后办结</w:t>
            </w:r>
          </w:p>
        </w:tc>
      </w:tr>
      <w:tr w14:paraId="328D2F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674614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领导发起督办</w:t>
            </w:r>
          </w:p>
        </w:tc>
        <w:tc>
          <w:tcPr>
            <w:tcW w:w="2952" w:type="dxa"/>
            <w:vAlign w:val="center"/>
          </w:tcPr>
          <w:p w14:paraId="1071E867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领导指示、会议纪要、重点专项、临时交办事项</w:t>
            </w:r>
          </w:p>
        </w:tc>
        <w:tc>
          <w:tcPr>
            <w:tcW w:w="3096" w:type="dxa"/>
            <w:vAlign w:val="center"/>
          </w:tcPr>
          <w:p w14:paraId="7C0AFF97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可直接生成督办；责任人必须签收；拒收需抄送领导</w:t>
            </w:r>
          </w:p>
        </w:tc>
        <w:tc>
          <w:tcPr>
            <w:tcW w:w="2520" w:type="dxa"/>
            <w:vAlign w:val="center"/>
          </w:tcPr>
          <w:p w14:paraId="6F8B4471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领导或督办员验收评分后归档</w:t>
            </w:r>
          </w:p>
        </w:tc>
      </w:tr>
      <w:tr w14:paraId="7509FD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342EE8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部门发起督办</w:t>
            </w:r>
          </w:p>
        </w:tc>
        <w:tc>
          <w:tcPr>
            <w:tcW w:w="2952" w:type="dxa"/>
            <w:vAlign w:val="center"/>
          </w:tcPr>
          <w:p w14:paraId="1FF54541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部门间协作、制度执行、项目推进、专项整改</w:t>
            </w:r>
          </w:p>
        </w:tc>
        <w:tc>
          <w:tcPr>
            <w:tcW w:w="3096" w:type="dxa"/>
            <w:vAlign w:val="center"/>
          </w:tcPr>
          <w:p w14:paraId="0B425CE6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部门负责人确认；跨部门需接收确认</w:t>
            </w:r>
          </w:p>
        </w:tc>
        <w:tc>
          <w:tcPr>
            <w:tcW w:w="2520" w:type="dxa"/>
            <w:vAlign w:val="center"/>
          </w:tcPr>
          <w:p w14:paraId="1D86D9A9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跨部门拒绝进入协调或领导批示</w:t>
            </w:r>
          </w:p>
        </w:tc>
      </w:tr>
    </w:tbl>
    <w:p w14:paraId="1597C411"/>
    <w:p w14:paraId="345620D2">
      <w:pPr>
        <w:pStyle w:val="3"/>
      </w:pPr>
      <w:r>
        <w:rPr>
          <w:rFonts w:ascii="微软雅黑" w:hAnsi="微软雅黑" w:eastAsia="微软雅黑"/>
          <w:b/>
          <w:color w:val="0F534C"/>
          <w:sz w:val="32"/>
        </w:rPr>
        <w:t>三、个人发起督办流程</w:t>
      </w:r>
    </w:p>
    <w:p w14:paraId="2963211D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个人发起必须先确认督办是否成立，避免普通协作事项被随意升级为正式督办。审批退回、不成立、拒收、超时未签收都必须有明确处理路径。</w:t>
      </w:r>
    </w:p>
    <w:p w14:paraId="53540E24">
      <w:pPr>
        <w:spacing w:before="40" w:after="80"/>
      </w:pPr>
      <w:r>
        <w:rPr>
          <w:rFonts w:ascii="微软雅黑" w:hAnsi="微软雅黑" w:eastAsia="微软雅黑"/>
          <w:b/>
          <w:color w:val="0F534C"/>
          <w:sz w:val="21"/>
        </w:rPr>
        <w:t>图 2：个人发起督办流程图</w:t>
      </w:r>
    </w:p>
    <w:p w14:paraId="612EF168">
      <w:pPr>
        <w:spacing w:after="160"/>
        <w:jc w:val="center"/>
      </w:pPr>
    </w:p>
    <w:p w14:paraId="3A85EA39">
      <w:pPr>
        <w:spacing w:after="160"/>
        <w:jc w:val="center"/>
      </w:pPr>
      <w:bookmarkStart w:id="0" w:name="_GoBack"/>
      <w:r>
        <w:drawing>
          <wp:inline distT="0" distB="0" distL="114300" distR="114300">
            <wp:extent cx="3557905" cy="8975725"/>
            <wp:effectExtent l="0" t="0" r="4445" b="1587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b="6472"/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897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D17CB56">
      <w:pPr>
        <w:pStyle w:val="3"/>
      </w:pPr>
      <w:r>
        <w:rPr>
          <w:rFonts w:ascii="微软雅黑" w:hAnsi="微软雅黑" w:eastAsia="微软雅黑"/>
          <w:b/>
          <w:color w:val="0F534C"/>
          <w:sz w:val="32"/>
        </w:rPr>
        <w:t>四、领导发起转交员工流程</w:t>
      </w:r>
    </w:p>
    <w:p w14:paraId="4CA50890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领导交办可以跳过普通审批，但不能跳过责任人签收、执行反馈、验收评分和归档。拒收或超时未签收时，系统必须抄送领导或部门负责人。</w:t>
      </w:r>
    </w:p>
    <w:p w14:paraId="10A899B3">
      <w:pPr>
        <w:spacing w:before="40" w:after="80"/>
      </w:pPr>
      <w:r>
        <w:rPr>
          <w:rFonts w:ascii="微软雅黑" w:hAnsi="微软雅黑" w:eastAsia="微软雅黑"/>
          <w:b/>
          <w:color w:val="0F534C"/>
          <w:sz w:val="21"/>
        </w:rPr>
        <w:t>图 3：领导发起转交员工流程图</w:t>
      </w:r>
    </w:p>
    <w:p w14:paraId="11DD0B3E">
      <w:pPr>
        <w:spacing w:after="160"/>
        <w:jc w:val="center"/>
      </w:pPr>
      <w:r>
        <w:drawing>
          <wp:inline distT="0" distB="0" distL="114300" distR="114300">
            <wp:extent cx="4727575" cy="7680960"/>
            <wp:effectExtent l="0" t="0" r="15875" b="1524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7BD27">
      <w:pPr>
        <w:pStyle w:val="3"/>
      </w:pPr>
      <w:r>
        <w:rPr>
          <w:rFonts w:ascii="微软雅黑" w:hAnsi="微软雅黑" w:eastAsia="微软雅黑"/>
          <w:b/>
          <w:color w:val="0F534C"/>
          <w:sz w:val="32"/>
        </w:rPr>
        <w:t>五、部门发起督办流程</w:t>
      </w:r>
    </w:p>
    <w:p w14:paraId="62560EB7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部门发起需要先由部门负责人确认。跨部门督办必须增加接收部门承接确认，拒绝承接时进入协调或领导批示，不能直接关闭。</w:t>
      </w:r>
    </w:p>
    <w:p w14:paraId="3C9E2F50">
      <w:pPr>
        <w:spacing w:before="40" w:after="80"/>
      </w:pPr>
      <w:r>
        <w:rPr>
          <w:rFonts w:ascii="微软雅黑" w:hAnsi="微软雅黑" w:eastAsia="微软雅黑"/>
          <w:b/>
          <w:color w:val="0F534C"/>
          <w:sz w:val="21"/>
        </w:rPr>
        <w:t>图 4：部门发起督办流程图</w:t>
      </w:r>
    </w:p>
    <w:p w14:paraId="7C5D941D">
      <w:pPr>
        <w:spacing w:after="160"/>
        <w:jc w:val="center"/>
      </w:pPr>
    </w:p>
    <w:p w14:paraId="08D9DB70">
      <w:pPr>
        <w:spacing w:after="160"/>
        <w:jc w:val="center"/>
      </w:pPr>
      <w:r>
        <w:drawing>
          <wp:inline distT="0" distB="0" distL="114300" distR="114300">
            <wp:extent cx="4662805" cy="6887845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rcRect b="5366"/>
                    <a:stretch>
                      <a:fillRect/>
                    </a:stretch>
                  </pic:blipFill>
                  <pic:spPr>
                    <a:xfrm>
                      <a:off x="0" y="0"/>
                      <a:ext cx="4662805" cy="688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AB07">
      <w:pPr>
        <w:pStyle w:val="3"/>
      </w:pPr>
      <w:r>
        <w:rPr>
          <w:rFonts w:ascii="微软雅黑" w:hAnsi="微软雅黑" w:eastAsia="微软雅黑"/>
          <w:b/>
          <w:color w:val="0F534C"/>
          <w:sz w:val="32"/>
        </w:rPr>
        <w:t>六、统一主线节点规则</w:t>
      </w:r>
    </w:p>
    <w:tbl>
      <w:tblPr>
        <w:tblStyle w:val="4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928"/>
        <w:gridCol w:w="2213"/>
        <w:gridCol w:w="3569"/>
      </w:tblGrid>
      <w:tr w14:paraId="78F7F8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0F766E"/>
            <w:vAlign w:val="center"/>
          </w:tcPr>
          <w:p w14:paraId="1904D3A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2952" w:type="dxa"/>
            <w:shd w:val="clear" w:color="auto" w:fill="0F766E"/>
            <w:vAlign w:val="center"/>
          </w:tcPr>
          <w:p w14:paraId="5116739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核心动作</w:t>
            </w:r>
          </w:p>
        </w:tc>
        <w:tc>
          <w:tcPr>
            <w:tcW w:w="2232" w:type="dxa"/>
            <w:shd w:val="clear" w:color="auto" w:fill="0F766E"/>
            <w:vAlign w:val="center"/>
          </w:tcPr>
          <w:p w14:paraId="22D31F4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责任角色</w:t>
            </w:r>
          </w:p>
        </w:tc>
        <w:tc>
          <w:tcPr>
            <w:tcW w:w="3600" w:type="dxa"/>
            <w:shd w:val="clear" w:color="auto" w:fill="0F766E"/>
            <w:vAlign w:val="center"/>
          </w:tcPr>
          <w:p w14:paraId="5EC7A14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关键规则</w:t>
            </w:r>
          </w:p>
        </w:tc>
      </w:tr>
      <w:tr w14:paraId="6A893B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7395841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1. 发起</w:t>
            </w:r>
          </w:p>
        </w:tc>
        <w:tc>
          <w:tcPr>
            <w:tcW w:w="2952" w:type="dxa"/>
            <w:vAlign w:val="center"/>
          </w:tcPr>
          <w:p w14:paraId="62DE06C6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填写督办事项、目标、时限、附件</w:t>
            </w:r>
          </w:p>
        </w:tc>
        <w:tc>
          <w:tcPr>
            <w:tcW w:w="2232" w:type="dxa"/>
            <w:vAlign w:val="center"/>
          </w:tcPr>
          <w:p w14:paraId="38D14DEA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发起人 / 领导 / 部门</w:t>
            </w:r>
          </w:p>
        </w:tc>
        <w:tc>
          <w:tcPr>
            <w:tcW w:w="3600" w:type="dxa"/>
            <w:vAlign w:val="center"/>
          </w:tcPr>
          <w:p w14:paraId="0EC0684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信息不完整不能提交</w:t>
            </w:r>
          </w:p>
        </w:tc>
      </w:tr>
      <w:tr w14:paraId="5C689D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4B0F8A7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 审批或确认</w:t>
            </w:r>
          </w:p>
        </w:tc>
        <w:tc>
          <w:tcPr>
            <w:tcW w:w="2952" w:type="dxa"/>
            <w:vAlign w:val="center"/>
          </w:tcPr>
          <w:p w14:paraId="42C67F2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判断督办是否成立</w:t>
            </w:r>
          </w:p>
        </w:tc>
        <w:tc>
          <w:tcPr>
            <w:tcW w:w="2232" w:type="dxa"/>
            <w:vAlign w:val="center"/>
          </w:tcPr>
          <w:p w14:paraId="6CB7FEB7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审批人 / 部门负责人</w:t>
            </w:r>
          </w:p>
        </w:tc>
        <w:tc>
          <w:tcPr>
            <w:tcW w:w="3600" w:type="dxa"/>
            <w:vAlign w:val="center"/>
          </w:tcPr>
          <w:p w14:paraId="0A2E6FA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不成立必须说明原因</w:t>
            </w:r>
          </w:p>
        </w:tc>
      </w:tr>
      <w:tr w14:paraId="7CF681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7216011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3. 派发</w:t>
            </w:r>
          </w:p>
        </w:tc>
        <w:tc>
          <w:tcPr>
            <w:tcW w:w="2952" w:type="dxa"/>
            <w:vAlign w:val="center"/>
          </w:tcPr>
          <w:p w14:paraId="06EB33D7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指定责任人、协办人、完成时限</w:t>
            </w:r>
          </w:p>
        </w:tc>
        <w:tc>
          <w:tcPr>
            <w:tcW w:w="2232" w:type="dxa"/>
            <w:vAlign w:val="center"/>
          </w:tcPr>
          <w:p w14:paraId="0B4A905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派发人 / 督办员</w:t>
            </w:r>
          </w:p>
        </w:tc>
        <w:tc>
          <w:tcPr>
            <w:tcW w:w="3600" w:type="dxa"/>
            <w:vAlign w:val="center"/>
          </w:tcPr>
          <w:p w14:paraId="446AF79F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没有责任人和时限不能派发</w:t>
            </w:r>
          </w:p>
        </w:tc>
      </w:tr>
      <w:tr w14:paraId="00B17E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3453A72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4. 签收</w:t>
            </w:r>
          </w:p>
        </w:tc>
        <w:tc>
          <w:tcPr>
            <w:tcW w:w="2952" w:type="dxa"/>
            <w:vAlign w:val="center"/>
          </w:tcPr>
          <w:p w14:paraId="2182A95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责任人确认接收任务</w:t>
            </w:r>
          </w:p>
        </w:tc>
        <w:tc>
          <w:tcPr>
            <w:tcW w:w="2232" w:type="dxa"/>
            <w:vAlign w:val="center"/>
          </w:tcPr>
          <w:p w14:paraId="20ECA0E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责任人</w:t>
            </w:r>
          </w:p>
        </w:tc>
        <w:tc>
          <w:tcPr>
            <w:tcW w:w="3600" w:type="dxa"/>
            <w:vAlign w:val="center"/>
          </w:tcPr>
          <w:p w14:paraId="64C956F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不签收必须催签并升级</w:t>
            </w:r>
          </w:p>
        </w:tc>
      </w:tr>
      <w:tr w14:paraId="639522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6AEBB5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5. 执行反馈</w:t>
            </w:r>
          </w:p>
        </w:tc>
        <w:tc>
          <w:tcPr>
            <w:tcW w:w="2952" w:type="dxa"/>
            <w:vAlign w:val="center"/>
          </w:tcPr>
          <w:p w14:paraId="6CAD100C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提交进度、卡点、附件、完成结果</w:t>
            </w:r>
          </w:p>
        </w:tc>
        <w:tc>
          <w:tcPr>
            <w:tcW w:w="2232" w:type="dxa"/>
            <w:vAlign w:val="center"/>
          </w:tcPr>
          <w:p w14:paraId="708FBC0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责任人 / 协办人</w:t>
            </w:r>
          </w:p>
        </w:tc>
        <w:tc>
          <w:tcPr>
            <w:tcW w:w="3600" w:type="dxa"/>
            <w:vAlign w:val="center"/>
          </w:tcPr>
          <w:p w14:paraId="4185702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长期无反馈自动催办</w:t>
            </w:r>
          </w:p>
        </w:tc>
      </w:tr>
      <w:tr w14:paraId="204B85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44E8913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6. 异常处理</w:t>
            </w:r>
          </w:p>
        </w:tc>
        <w:tc>
          <w:tcPr>
            <w:tcW w:w="2952" w:type="dxa"/>
            <w:vAlign w:val="center"/>
          </w:tcPr>
          <w:p w14:paraId="067AA60C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延期、变更、转办、拒收、批示</w:t>
            </w:r>
          </w:p>
        </w:tc>
        <w:tc>
          <w:tcPr>
            <w:tcW w:w="2232" w:type="dxa"/>
            <w:vAlign w:val="center"/>
          </w:tcPr>
          <w:p w14:paraId="753D31C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相关责任角色</w:t>
            </w:r>
          </w:p>
        </w:tc>
        <w:tc>
          <w:tcPr>
            <w:tcW w:w="3600" w:type="dxa"/>
            <w:vAlign w:val="center"/>
          </w:tcPr>
          <w:p w14:paraId="275ED2D8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异常不能悬空，必须回到主线</w:t>
            </w:r>
          </w:p>
        </w:tc>
      </w:tr>
      <w:tr w14:paraId="61462F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4CA158E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7. 验收</w:t>
            </w:r>
          </w:p>
        </w:tc>
        <w:tc>
          <w:tcPr>
            <w:tcW w:w="2952" w:type="dxa"/>
            <w:vAlign w:val="center"/>
          </w:tcPr>
          <w:p w14:paraId="2D5F12D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确认完成质量和交付物</w:t>
            </w:r>
          </w:p>
        </w:tc>
        <w:tc>
          <w:tcPr>
            <w:tcW w:w="2232" w:type="dxa"/>
            <w:vAlign w:val="center"/>
          </w:tcPr>
          <w:p w14:paraId="33B4EC0C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发起人 / 督办人 / 领导</w:t>
            </w:r>
          </w:p>
        </w:tc>
        <w:tc>
          <w:tcPr>
            <w:tcW w:w="3600" w:type="dxa"/>
            <w:vAlign w:val="center"/>
          </w:tcPr>
          <w:p w14:paraId="12E09F6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退回必须写整改要求</w:t>
            </w:r>
          </w:p>
        </w:tc>
      </w:tr>
      <w:tr w14:paraId="79185D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14450F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8. 评分</w:t>
            </w:r>
          </w:p>
        </w:tc>
        <w:tc>
          <w:tcPr>
            <w:tcW w:w="2952" w:type="dxa"/>
            <w:vAlign w:val="center"/>
          </w:tcPr>
          <w:p w14:paraId="66116F91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按时效、质量、协同、材料完整性评分</w:t>
            </w:r>
          </w:p>
        </w:tc>
        <w:tc>
          <w:tcPr>
            <w:tcW w:w="2232" w:type="dxa"/>
            <w:vAlign w:val="center"/>
          </w:tcPr>
          <w:p w14:paraId="55B850D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验收人 / 领导</w:t>
            </w:r>
          </w:p>
        </w:tc>
        <w:tc>
          <w:tcPr>
            <w:tcW w:w="3600" w:type="dxa"/>
            <w:vAlign w:val="center"/>
          </w:tcPr>
          <w:p w14:paraId="5485B75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评分后才允许办结</w:t>
            </w:r>
          </w:p>
        </w:tc>
      </w:tr>
      <w:tr w14:paraId="6FFA06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129CEEB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9. 归档</w:t>
            </w:r>
          </w:p>
        </w:tc>
        <w:tc>
          <w:tcPr>
            <w:tcW w:w="2952" w:type="dxa"/>
            <w:vAlign w:val="center"/>
          </w:tcPr>
          <w:p w14:paraId="649F3A6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形成结论和过程留痕</w:t>
            </w:r>
          </w:p>
        </w:tc>
        <w:tc>
          <w:tcPr>
            <w:tcW w:w="2232" w:type="dxa"/>
            <w:vAlign w:val="center"/>
          </w:tcPr>
          <w:p w14:paraId="795F16C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督办人 / 系统</w:t>
            </w:r>
          </w:p>
        </w:tc>
        <w:tc>
          <w:tcPr>
            <w:tcW w:w="3600" w:type="dxa"/>
            <w:vAlign w:val="center"/>
          </w:tcPr>
          <w:p w14:paraId="695D654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归档后进入统计分析</w:t>
            </w:r>
          </w:p>
        </w:tc>
      </w:tr>
    </w:tbl>
    <w:p w14:paraId="42A587BB"/>
    <w:p w14:paraId="6342C7D1">
      <w:pPr>
        <w:pStyle w:val="3"/>
      </w:pPr>
      <w:r>
        <w:rPr>
          <w:rFonts w:ascii="微软雅黑" w:hAnsi="微软雅黑" w:eastAsia="微软雅黑"/>
          <w:b/>
          <w:color w:val="0F534C"/>
          <w:sz w:val="32"/>
        </w:rPr>
        <w:t>七、关键闭环机制</w:t>
      </w:r>
    </w:p>
    <w:p w14:paraId="6E8719D2">
      <w:pPr>
        <w:pStyle w:val="4"/>
      </w:pPr>
      <w:r>
        <w:rPr>
          <w:rFonts w:ascii="微软雅黑" w:hAnsi="微软雅黑" w:eastAsia="微软雅黑"/>
          <w:b/>
          <w:color w:val="1F4467"/>
          <w:sz w:val="25"/>
        </w:rPr>
        <w:t>1. 签收闭环</w:t>
      </w:r>
    </w:p>
    <w:p w14:paraId="4771A17B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派发后必须进入签收环节。责任人签收时需要确认任务范围、完成标准、完成时限和交付物。未签收、延期签收、拒收都必须进入明确处理路径。</w:t>
      </w:r>
    </w:p>
    <w:tbl>
      <w:tblPr>
        <w:tblStyle w:val="4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4392"/>
        <w:gridCol w:w="3816"/>
      </w:tblGrid>
      <w:tr w14:paraId="4985E7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0F766E"/>
            <w:vAlign w:val="center"/>
          </w:tcPr>
          <w:p w14:paraId="69A3BDB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情形</w:t>
            </w:r>
          </w:p>
        </w:tc>
        <w:tc>
          <w:tcPr>
            <w:tcW w:w="4392" w:type="dxa"/>
            <w:shd w:val="clear" w:color="auto" w:fill="0F766E"/>
            <w:vAlign w:val="center"/>
          </w:tcPr>
          <w:p w14:paraId="086DE63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系统动作</w:t>
            </w:r>
          </w:p>
        </w:tc>
        <w:tc>
          <w:tcPr>
            <w:tcW w:w="3816" w:type="dxa"/>
            <w:shd w:val="clear" w:color="auto" w:fill="0F766E"/>
            <w:vAlign w:val="center"/>
          </w:tcPr>
          <w:p w14:paraId="66327C9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处理结果</w:t>
            </w:r>
          </w:p>
        </w:tc>
      </w:tr>
      <w:tr w14:paraId="0A547A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DAB88A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正常签收</w:t>
            </w:r>
          </w:p>
        </w:tc>
        <w:tc>
          <w:tcPr>
            <w:tcW w:w="4392" w:type="dxa"/>
            <w:vAlign w:val="center"/>
          </w:tcPr>
          <w:p w14:paraId="4754AAE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记录签收时间和签收人</w:t>
            </w:r>
          </w:p>
        </w:tc>
        <w:tc>
          <w:tcPr>
            <w:tcW w:w="3816" w:type="dxa"/>
            <w:vAlign w:val="center"/>
          </w:tcPr>
          <w:p w14:paraId="557002E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进入执行中</w:t>
            </w:r>
          </w:p>
        </w:tc>
      </w:tr>
      <w:tr w14:paraId="16CDE6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2D1178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 小时未签收</w:t>
            </w:r>
          </w:p>
        </w:tc>
        <w:tc>
          <w:tcPr>
            <w:tcW w:w="4392" w:type="dxa"/>
            <w:vAlign w:val="center"/>
          </w:tcPr>
          <w:p w14:paraId="0DF3F15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提醒责任人</w:t>
            </w:r>
          </w:p>
        </w:tc>
        <w:tc>
          <w:tcPr>
            <w:tcW w:w="3816" w:type="dxa"/>
            <w:vAlign w:val="center"/>
          </w:tcPr>
          <w:p w14:paraId="6128C3A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保持待签收</w:t>
            </w:r>
          </w:p>
        </w:tc>
      </w:tr>
      <w:tr w14:paraId="73B282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0DEE7E9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 小时未签收</w:t>
            </w:r>
          </w:p>
        </w:tc>
        <w:tc>
          <w:tcPr>
            <w:tcW w:w="4392" w:type="dxa"/>
            <w:vAlign w:val="center"/>
          </w:tcPr>
          <w:p w14:paraId="0E380FE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抄送派发人并亮黄灯</w:t>
            </w:r>
          </w:p>
        </w:tc>
        <w:tc>
          <w:tcPr>
            <w:tcW w:w="3816" w:type="dxa"/>
            <w:vAlign w:val="center"/>
          </w:tcPr>
          <w:p w14:paraId="6934D0F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进入签收预警</w:t>
            </w:r>
          </w:p>
        </w:tc>
      </w:tr>
      <w:tr w14:paraId="350B21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68F1FC6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 个工作日未签收</w:t>
            </w:r>
          </w:p>
        </w:tc>
        <w:tc>
          <w:tcPr>
            <w:tcW w:w="4392" w:type="dxa"/>
            <w:vAlign w:val="center"/>
          </w:tcPr>
          <w:p w14:paraId="41C54E56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抄送责任人上级并亮红灯</w:t>
            </w:r>
          </w:p>
        </w:tc>
        <w:tc>
          <w:tcPr>
            <w:tcW w:w="3816" w:type="dxa"/>
            <w:vAlign w:val="center"/>
          </w:tcPr>
          <w:p w14:paraId="62B3475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进入签收超期</w:t>
            </w:r>
          </w:p>
        </w:tc>
      </w:tr>
      <w:tr w14:paraId="637A9F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075F455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仍未签收</w:t>
            </w:r>
          </w:p>
        </w:tc>
        <w:tc>
          <w:tcPr>
            <w:tcW w:w="4392" w:type="dxa"/>
            <w:vAlign w:val="center"/>
          </w:tcPr>
          <w:p w14:paraId="1AEC615F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要求派发人改派、强制签收或升级批示</w:t>
            </w:r>
          </w:p>
        </w:tc>
        <w:tc>
          <w:tcPr>
            <w:tcW w:w="3816" w:type="dxa"/>
            <w:vAlign w:val="center"/>
          </w:tcPr>
          <w:p w14:paraId="3A9D23A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进入升级处理中</w:t>
            </w:r>
          </w:p>
        </w:tc>
      </w:tr>
      <w:tr w14:paraId="25C881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6D3496E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责任人拒收</w:t>
            </w:r>
          </w:p>
        </w:tc>
        <w:tc>
          <w:tcPr>
            <w:tcW w:w="4392" w:type="dxa"/>
            <w:vAlign w:val="center"/>
          </w:tcPr>
          <w:p w14:paraId="6616987A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填写拒收原因和建议责任人</w:t>
            </w:r>
          </w:p>
        </w:tc>
        <w:tc>
          <w:tcPr>
            <w:tcW w:w="3816" w:type="dxa"/>
            <w:vAlign w:val="center"/>
          </w:tcPr>
          <w:p w14:paraId="4A98AF92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派发人同意后重派，驳回后继续签收</w:t>
            </w:r>
          </w:p>
        </w:tc>
      </w:tr>
    </w:tbl>
    <w:p w14:paraId="39B67549"/>
    <w:p w14:paraId="1CCE77ED">
      <w:pPr>
        <w:pStyle w:val="4"/>
      </w:pPr>
      <w:r>
        <w:rPr>
          <w:rFonts w:ascii="微软雅黑" w:hAnsi="微软雅黑" w:eastAsia="微软雅黑"/>
          <w:b/>
          <w:color w:val="1F4467"/>
          <w:sz w:val="25"/>
        </w:rPr>
        <w:t>2. 异常闭环</w:t>
      </w:r>
    </w:p>
    <w:p w14:paraId="13F16300">
      <w:pPr>
        <w:spacing w:before="40" w:after="80"/>
      </w:pPr>
      <w:r>
        <w:rPr>
          <w:rFonts w:ascii="微软雅黑" w:hAnsi="微软雅黑" w:eastAsia="微软雅黑"/>
          <w:b/>
          <w:color w:val="0F534C"/>
          <w:sz w:val="21"/>
        </w:rPr>
        <w:t>图 5：异常动作闭环流程图</w:t>
      </w:r>
    </w:p>
    <w:p w14:paraId="16243869">
      <w:pPr>
        <w:spacing w:after="160"/>
        <w:jc w:val="center"/>
      </w:pPr>
      <w:r>
        <w:drawing>
          <wp:inline distT="0" distB="0" distL="114300" distR="114300">
            <wp:extent cx="6263640" cy="3618865"/>
            <wp:effectExtent l="0" t="0" r="381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1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960"/>
        <w:gridCol w:w="4608"/>
      </w:tblGrid>
      <w:tr w14:paraId="1DDA87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0F766E"/>
            <w:vAlign w:val="center"/>
          </w:tcPr>
          <w:p w14:paraId="7DA8B26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异常动作</w:t>
            </w:r>
          </w:p>
        </w:tc>
        <w:tc>
          <w:tcPr>
            <w:tcW w:w="3960" w:type="dxa"/>
            <w:shd w:val="clear" w:color="auto" w:fill="0F766E"/>
            <w:vAlign w:val="center"/>
          </w:tcPr>
          <w:p w14:paraId="66E1E8E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必须填写内容</w:t>
            </w:r>
          </w:p>
        </w:tc>
        <w:tc>
          <w:tcPr>
            <w:tcW w:w="4608" w:type="dxa"/>
            <w:shd w:val="clear" w:color="auto" w:fill="0F766E"/>
            <w:vAlign w:val="center"/>
          </w:tcPr>
          <w:p w14:paraId="304A317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闭环规则</w:t>
            </w:r>
          </w:p>
        </w:tc>
      </w:tr>
      <w:tr w14:paraId="40B720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62B9BA5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延期</w:t>
            </w:r>
          </w:p>
        </w:tc>
        <w:tc>
          <w:tcPr>
            <w:tcW w:w="3960" w:type="dxa"/>
            <w:vAlign w:val="center"/>
          </w:tcPr>
          <w:p w14:paraId="1C30C3D9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延期原因、新完成时间、影响范围</w:t>
            </w:r>
          </w:p>
        </w:tc>
        <w:tc>
          <w:tcPr>
            <w:tcW w:w="4608" w:type="dxa"/>
            <w:vAlign w:val="center"/>
          </w:tcPr>
          <w:p w14:paraId="69C12B4B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同意后更新时限并记录延期次数；驳回则维持原时限</w:t>
            </w:r>
          </w:p>
        </w:tc>
      </w:tr>
      <w:tr w14:paraId="4F08E5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20E9A78B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变更</w:t>
            </w:r>
          </w:p>
        </w:tc>
        <w:tc>
          <w:tcPr>
            <w:tcW w:w="3960" w:type="dxa"/>
            <w:vAlign w:val="center"/>
          </w:tcPr>
          <w:p w14:paraId="78501A27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变更内容、变更原因、影响说明</w:t>
            </w:r>
          </w:p>
        </w:tc>
        <w:tc>
          <w:tcPr>
            <w:tcW w:w="4608" w:type="dxa"/>
            <w:vAlign w:val="center"/>
          </w:tcPr>
          <w:p w14:paraId="1A447BEB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生成变更版本，不能覆盖原督办要求</w:t>
            </w:r>
          </w:p>
        </w:tc>
      </w:tr>
      <w:tr w14:paraId="095606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70BBBBB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转办</w:t>
            </w:r>
          </w:p>
        </w:tc>
        <w:tc>
          <w:tcPr>
            <w:tcW w:w="3960" w:type="dxa"/>
            <w:vAlign w:val="center"/>
          </w:tcPr>
          <w:p w14:paraId="6A57E278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转办原因、新责任人、责任说明</w:t>
            </w:r>
          </w:p>
        </w:tc>
        <w:tc>
          <w:tcPr>
            <w:tcW w:w="4608" w:type="dxa"/>
            <w:vAlign w:val="center"/>
          </w:tcPr>
          <w:p w14:paraId="5702A05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新责任人必须重新签收</w:t>
            </w:r>
          </w:p>
        </w:tc>
      </w:tr>
      <w:tr w14:paraId="1B2D9E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0B046239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拒收</w:t>
            </w:r>
          </w:p>
        </w:tc>
        <w:tc>
          <w:tcPr>
            <w:tcW w:w="3960" w:type="dxa"/>
            <w:vAlign w:val="center"/>
          </w:tcPr>
          <w:p w14:paraId="4D6721EB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拒收原因、建议责任人、是否需协调</w:t>
            </w:r>
          </w:p>
        </w:tc>
        <w:tc>
          <w:tcPr>
            <w:tcW w:w="4608" w:type="dxa"/>
            <w:vAlign w:val="center"/>
          </w:tcPr>
          <w:p w14:paraId="1D10B250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不能直接关闭，必须回到派发或领导批示</w:t>
            </w:r>
          </w:p>
        </w:tc>
      </w:tr>
      <w:tr w14:paraId="4A2CAB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38598A5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批示</w:t>
            </w:r>
          </w:p>
        </w:tc>
        <w:tc>
          <w:tcPr>
            <w:tcW w:w="3960" w:type="dxa"/>
            <w:vAlign w:val="center"/>
          </w:tcPr>
          <w:p w14:paraId="0AD2C6C8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批示意见、承接动作、责任人</w:t>
            </w:r>
          </w:p>
        </w:tc>
        <w:tc>
          <w:tcPr>
            <w:tcW w:w="4608" w:type="dxa"/>
            <w:vAlign w:val="center"/>
          </w:tcPr>
          <w:p w14:paraId="76A58161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批示必须形成新待办或推动状态变化</w:t>
            </w:r>
          </w:p>
        </w:tc>
      </w:tr>
      <w:tr w14:paraId="6DC1B4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23D506CA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催办</w:t>
            </w:r>
          </w:p>
        </w:tc>
        <w:tc>
          <w:tcPr>
            <w:tcW w:w="3960" w:type="dxa"/>
            <w:vAlign w:val="center"/>
          </w:tcPr>
          <w:p w14:paraId="34E2E09C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催办对象、催办内容、催办时间</w:t>
            </w:r>
          </w:p>
        </w:tc>
        <w:tc>
          <w:tcPr>
            <w:tcW w:w="4608" w:type="dxa"/>
            <w:vAlign w:val="center"/>
          </w:tcPr>
          <w:p w14:paraId="2A03A28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必须留痕并进入统计</w:t>
            </w:r>
          </w:p>
        </w:tc>
      </w:tr>
    </w:tbl>
    <w:p w14:paraId="6D9CB30C"/>
    <w:p w14:paraId="08D6FB72">
      <w:pPr>
        <w:pStyle w:val="3"/>
      </w:pPr>
      <w:r>
        <w:rPr>
          <w:rFonts w:ascii="微软雅黑" w:hAnsi="微软雅黑" w:eastAsia="微软雅黑"/>
          <w:b/>
          <w:color w:val="0F534C"/>
          <w:sz w:val="32"/>
        </w:rPr>
        <w:t>八、亮灯预警规则</w:t>
      </w:r>
    </w:p>
    <w:p w14:paraId="2C5C4FB5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亮灯规则用于让领导和督办人员快速识别风险。建议将签收、进度、到期、验收分别亮灯，总体灯色取最严重状态。</w:t>
      </w:r>
    </w:p>
    <w:p w14:paraId="5EF7C96B">
      <w:pPr>
        <w:spacing w:before="40" w:after="80"/>
      </w:pPr>
      <w:r>
        <w:rPr>
          <w:rFonts w:ascii="微软雅黑" w:hAnsi="微软雅黑" w:eastAsia="微软雅黑"/>
          <w:b/>
          <w:color w:val="0F534C"/>
          <w:sz w:val="21"/>
        </w:rPr>
        <w:t>图 6：亮灯预警与升级流程图</w:t>
      </w:r>
    </w:p>
    <w:p w14:paraId="6B1755E5">
      <w:pPr>
        <w:spacing w:after="160"/>
        <w:jc w:val="center"/>
      </w:pPr>
      <w:r>
        <w:drawing>
          <wp:inline distT="0" distB="0" distL="114300" distR="114300">
            <wp:extent cx="6263640" cy="2957830"/>
            <wp:effectExtent l="0" t="0" r="381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4536"/>
        <w:gridCol w:w="4176"/>
      </w:tblGrid>
      <w:tr w14:paraId="081B67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0F766E"/>
            <w:vAlign w:val="center"/>
          </w:tcPr>
          <w:p w14:paraId="365A2A3E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灯色</w:t>
            </w:r>
          </w:p>
        </w:tc>
        <w:tc>
          <w:tcPr>
            <w:tcW w:w="4536" w:type="dxa"/>
            <w:shd w:val="clear" w:color="auto" w:fill="0F766E"/>
            <w:vAlign w:val="center"/>
          </w:tcPr>
          <w:p w14:paraId="7000D38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触发条件</w:t>
            </w:r>
          </w:p>
        </w:tc>
        <w:tc>
          <w:tcPr>
            <w:tcW w:w="4176" w:type="dxa"/>
            <w:shd w:val="clear" w:color="auto" w:fill="0F766E"/>
            <w:vAlign w:val="center"/>
          </w:tcPr>
          <w:p w14:paraId="4311768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系统动作</w:t>
            </w:r>
          </w:p>
        </w:tc>
      </w:tr>
      <w:tr w14:paraId="68535B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0A861B0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绿灯</w:t>
            </w:r>
          </w:p>
        </w:tc>
        <w:tc>
          <w:tcPr>
            <w:tcW w:w="4536" w:type="dxa"/>
            <w:vAlign w:val="center"/>
          </w:tcPr>
          <w:p w14:paraId="74537A2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未临期，正常反馈</w:t>
            </w:r>
          </w:p>
        </w:tc>
        <w:tc>
          <w:tcPr>
            <w:tcW w:w="4176" w:type="dxa"/>
            <w:vAlign w:val="center"/>
          </w:tcPr>
          <w:p w14:paraId="14F7C2C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正常展示</w:t>
            </w:r>
          </w:p>
        </w:tc>
      </w:tr>
      <w:tr w14:paraId="660EAA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CEE046D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黄灯</w:t>
            </w:r>
          </w:p>
        </w:tc>
        <w:tc>
          <w:tcPr>
            <w:tcW w:w="4536" w:type="dxa"/>
            <w:vAlign w:val="center"/>
          </w:tcPr>
          <w:p w14:paraId="2A92286D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距截止时间小于 20%，或签收/反馈即将超时</w:t>
            </w:r>
          </w:p>
        </w:tc>
        <w:tc>
          <w:tcPr>
            <w:tcW w:w="4176" w:type="dxa"/>
            <w:vAlign w:val="center"/>
          </w:tcPr>
          <w:p w14:paraId="4952DC7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提醒责任人</w:t>
            </w:r>
          </w:p>
        </w:tc>
      </w:tr>
      <w:tr w14:paraId="312C89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59DF9C4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红灯</w:t>
            </w:r>
          </w:p>
        </w:tc>
        <w:tc>
          <w:tcPr>
            <w:tcW w:w="4536" w:type="dxa"/>
            <w:vAlign w:val="center"/>
          </w:tcPr>
          <w:p w14:paraId="47B7CCDB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已超期，或拒收/延期/转办未处理</w:t>
            </w:r>
          </w:p>
        </w:tc>
        <w:tc>
          <w:tcPr>
            <w:tcW w:w="4176" w:type="dxa"/>
            <w:vAlign w:val="center"/>
          </w:tcPr>
          <w:p w14:paraId="21EB818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抄送上级和督办人</w:t>
            </w:r>
          </w:p>
        </w:tc>
      </w:tr>
      <w:tr w14:paraId="004A9E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9FE39C6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黑灯</w:t>
            </w:r>
          </w:p>
        </w:tc>
        <w:tc>
          <w:tcPr>
            <w:tcW w:w="4536" w:type="dxa"/>
            <w:vAlign w:val="center"/>
          </w:tcPr>
          <w:p w14:paraId="497A8FEF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严重超期，或重大事项无人处理</w:t>
            </w:r>
          </w:p>
        </w:tc>
        <w:tc>
          <w:tcPr>
            <w:tcW w:w="4176" w:type="dxa"/>
            <w:vAlign w:val="center"/>
          </w:tcPr>
          <w:p w14:paraId="0A617AB1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升级领导批示</w:t>
            </w:r>
          </w:p>
        </w:tc>
      </w:tr>
    </w:tbl>
    <w:p w14:paraId="62901CD2"/>
    <w:p w14:paraId="143AA834">
      <w:pPr>
        <w:pStyle w:val="3"/>
      </w:pPr>
      <w:r>
        <w:rPr>
          <w:rFonts w:ascii="微软雅黑" w:hAnsi="微软雅黑" w:eastAsia="微软雅黑"/>
          <w:b/>
          <w:color w:val="0F534C"/>
          <w:sz w:val="32"/>
        </w:rPr>
        <w:t>九、验收评分机制</w:t>
      </w:r>
    </w:p>
    <w:p w14:paraId="02B7E28C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督办事项完成后不应直接关闭，必须先验收，再评分，最后归档。评分结果可用于部门执行力分析和责任人绩效参考。</w:t>
      </w:r>
    </w:p>
    <w:tbl>
      <w:tblPr>
        <w:tblStyle w:val="4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080"/>
        <w:gridCol w:w="7056"/>
      </w:tblGrid>
      <w:tr w14:paraId="5FB048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0F766E"/>
            <w:vAlign w:val="center"/>
          </w:tcPr>
          <w:p w14:paraId="1826C37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评分项</w:t>
            </w:r>
          </w:p>
        </w:tc>
        <w:tc>
          <w:tcPr>
            <w:tcW w:w="1080" w:type="dxa"/>
            <w:shd w:val="clear" w:color="auto" w:fill="0F766E"/>
            <w:vAlign w:val="center"/>
          </w:tcPr>
          <w:p w14:paraId="41874F7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分值</w:t>
            </w:r>
          </w:p>
        </w:tc>
        <w:tc>
          <w:tcPr>
            <w:tcW w:w="7056" w:type="dxa"/>
            <w:shd w:val="clear" w:color="auto" w:fill="0F766E"/>
            <w:vAlign w:val="center"/>
          </w:tcPr>
          <w:p w14:paraId="68A6406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706FB6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4DD4BCF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按时完成</w:t>
            </w:r>
          </w:p>
        </w:tc>
        <w:tc>
          <w:tcPr>
            <w:tcW w:w="1080" w:type="dxa"/>
            <w:vAlign w:val="center"/>
          </w:tcPr>
          <w:p w14:paraId="5903317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7056" w:type="dxa"/>
            <w:vAlign w:val="center"/>
          </w:tcPr>
          <w:p w14:paraId="1AF8664A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是否按计划完成，是否发生超期</w:t>
            </w:r>
          </w:p>
        </w:tc>
      </w:tr>
      <w:tr w14:paraId="52EBCD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6009CC3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完成质量</w:t>
            </w:r>
          </w:p>
        </w:tc>
        <w:tc>
          <w:tcPr>
            <w:tcW w:w="1080" w:type="dxa"/>
            <w:vAlign w:val="center"/>
          </w:tcPr>
          <w:p w14:paraId="2D7F1EB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w="7056" w:type="dxa"/>
            <w:vAlign w:val="center"/>
          </w:tcPr>
          <w:p w14:paraId="59A80686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是否达到督办目标和交付标准</w:t>
            </w:r>
          </w:p>
        </w:tc>
      </w:tr>
      <w:tr w14:paraId="320F21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3FA9086F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反馈及时性</w:t>
            </w:r>
          </w:p>
        </w:tc>
        <w:tc>
          <w:tcPr>
            <w:tcW w:w="1080" w:type="dxa"/>
            <w:vAlign w:val="center"/>
          </w:tcPr>
          <w:p w14:paraId="7982E718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w="7056" w:type="dxa"/>
            <w:vAlign w:val="center"/>
          </w:tcPr>
          <w:p w14:paraId="5585EE2A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是否按要求反馈进展和卡点</w:t>
            </w:r>
          </w:p>
        </w:tc>
      </w:tr>
      <w:tr w14:paraId="69794D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3814180C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协同配合</w:t>
            </w:r>
          </w:p>
        </w:tc>
        <w:tc>
          <w:tcPr>
            <w:tcW w:w="1080" w:type="dxa"/>
            <w:vAlign w:val="center"/>
          </w:tcPr>
          <w:p w14:paraId="0E8FC8C7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7056" w:type="dxa"/>
            <w:vAlign w:val="center"/>
          </w:tcPr>
          <w:p w14:paraId="10681D53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是否主动协同相关部门</w:t>
            </w:r>
          </w:p>
        </w:tc>
      </w:tr>
      <w:tr w14:paraId="091948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45EEC092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材料完整性</w:t>
            </w:r>
          </w:p>
        </w:tc>
        <w:tc>
          <w:tcPr>
            <w:tcW w:w="1080" w:type="dxa"/>
            <w:vAlign w:val="center"/>
          </w:tcPr>
          <w:p w14:paraId="310C66C5">
            <w:pPr>
              <w:spacing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7056" w:type="dxa"/>
            <w:vAlign w:val="center"/>
          </w:tcPr>
          <w:p w14:paraId="15EBE497">
            <w:pPr>
              <w:spacing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附件、说明、过程记录是否完整</w:t>
            </w:r>
          </w:p>
        </w:tc>
      </w:tr>
    </w:tbl>
    <w:p w14:paraId="057A6821"/>
    <w:p w14:paraId="21786AE6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评分建议：90-100 为优秀，80-89 为良好，60-79 为合格，60 分以下为不合格并进入复盘。</w:t>
      </w:r>
    </w:p>
    <w:p w14:paraId="69CC95DA">
      <w:pPr>
        <w:pStyle w:val="3"/>
      </w:pPr>
      <w:r>
        <w:rPr>
          <w:rFonts w:ascii="微软雅黑" w:hAnsi="微软雅黑" w:eastAsia="微软雅黑"/>
          <w:b/>
          <w:color w:val="0F534C"/>
          <w:sz w:val="32"/>
        </w:rPr>
        <w:t>十、领导关注看板</w:t>
      </w:r>
    </w:p>
    <w:p w14:paraId="4155FA98"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领导端不需要处理所有细节，应聚焦重大事项、超期事项、拒收事项和跨部门争议。建议建设以下看板指标。</w:t>
      </w:r>
    </w:p>
    <w:p w14:paraId="151C78B4">
      <w:pPr>
        <w:pStyle w:val="16"/>
        <w:spacing w:after="60"/>
      </w:pPr>
      <w:r>
        <w:rPr>
          <w:rFonts w:ascii="微软雅黑" w:hAnsi="微软雅黑" w:eastAsia="微软雅黑"/>
          <w:b w:val="0"/>
          <w:sz w:val="21"/>
        </w:rPr>
        <w:t>督办总量、待签收数量、执行中数量、已超期数量。</w:t>
      </w:r>
    </w:p>
    <w:p w14:paraId="5F899FC0">
      <w:pPr>
        <w:pStyle w:val="16"/>
        <w:spacing w:after="60"/>
      </w:pPr>
      <w:r>
        <w:rPr>
          <w:rFonts w:ascii="微软雅黑" w:hAnsi="微软雅黑" w:eastAsia="微软雅黑"/>
          <w:b w:val="0"/>
          <w:sz w:val="21"/>
        </w:rPr>
        <w:t>按部门、责任人、灯色统计的风险分布。</w:t>
      </w:r>
    </w:p>
    <w:p w14:paraId="05DD4984">
      <w:pPr>
        <w:pStyle w:val="16"/>
        <w:spacing w:after="60"/>
      </w:pPr>
      <w:r>
        <w:rPr>
          <w:rFonts w:ascii="微软雅黑" w:hAnsi="微软雅黑" w:eastAsia="微软雅黑"/>
          <w:b w:val="0"/>
          <w:sz w:val="21"/>
        </w:rPr>
        <w:t>重大督办事项清单和黑灯事项清单。</w:t>
      </w:r>
    </w:p>
    <w:p w14:paraId="4394EFC4">
      <w:pPr>
        <w:pStyle w:val="16"/>
        <w:spacing w:after="60"/>
      </w:pPr>
      <w:r>
        <w:rPr>
          <w:rFonts w:ascii="微软雅黑" w:hAnsi="微软雅黑" w:eastAsia="微软雅黑"/>
          <w:b w:val="0"/>
          <w:sz w:val="21"/>
        </w:rPr>
        <w:t>拒收、延期、转办、变更次数排行。</w:t>
      </w:r>
    </w:p>
    <w:p w14:paraId="3A24D7DC">
      <w:pPr>
        <w:pStyle w:val="16"/>
        <w:spacing w:after="60"/>
      </w:pPr>
      <w:r>
        <w:rPr>
          <w:rFonts w:ascii="微软雅黑" w:hAnsi="微软雅黑" w:eastAsia="微软雅黑"/>
          <w:b w:val="0"/>
          <w:sz w:val="21"/>
        </w:rPr>
        <w:t>平均办结周期、按时完成率、验收通过率、评分分布。</w:t>
      </w:r>
    </w:p>
    <w:p w14:paraId="5AFDF6B3"/>
    <w:p w14:paraId="681D8DEE"/>
    <w:sectPr>
      <w:footerReference r:id="rId5" w:type="default"/>
      <w:pgSz w:w="12240" w:h="15840"/>
      <w:pgMar w:top="1037" w:right="1123" w:bottom="1037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69B29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35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565</Words>
  <Characters>569</Characters>
  <Lines>0</Lines>
  <Paragraphs>0</Paragraphs>
  <TotalTime>7</TotalTime>
  <ScaleCrop>false</ScaleCrop>
  <LinksUpToDate>false</LinksUpToDate>
  <CharactersWithSpaces>573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</cp:lastModifiedBy>
  <dcterms:modified xsi:type="dcterms:W3CDTF">2026-06-04T08:25:44Z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eyJoZGlkIjoiMjA0ZjRiODk5NmI2OWQ4YWM1YjdlZWRlOWNhMzgwYWQiLCJ1c2VySWQiOiIxMDY1ODAyMjYyIn0=</vt:lpwstr>
  </property>
  <property fmtid="{D5CDD505-2E9C-101B-9397-08002B2CF9AE}" pid="3" name="KSOProductBuildVer">
    <vt:lpwstr>2052-12.1.0.26375</vt:lpwstr>
  </property>
  <property fmtid="{D5CDD505-2E9C-101B-9397-08002B2CF9AE}" pid="4" name="ICV">
    <vt:lpwstr>3C52BF705772476D90D581FAA63D0ED9_12</vt:lpwstr>
  </property>
</Properties>
</file>