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60"/>
        <w:jc w:val="center"/>
      </w:pPr>
      <w:r>
        <w:rPr>
          <w:rFonts w:ascii="Microsoft YaHei" w:hAnsi="Microsoft YaHei" w:eastAsia="Microsoft YaHei"/>
          <w:b/>
          <w:color w:val="0F534C"/>
          <w:sz w:val="56"/>
        </w:rPr>
        <w:t>督办全流程设计方案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6978"/>
          <w:sz w:val="32"/>
        </w:rPr>
        <w:t>领导汇报版｜含流程图</w:t>
      </w:r>
    </w:p>
    <w:p>
      <w:pPr>
        <w:spacing w:before="560"/>
        <w:jc w:val="center"/>
      </w:pPr>
      <w:r>
        <w:rPr>
          <w:rFonts w:ascii="Microsoft YaHei" w:hAnsi="Microsoft YaHei" w:eastAsia="Microsoft YaHei"/>
          <w:b w:val="0"/>
          <w:sz w:val="24"/>
        </w:rPr>
        <w:t>覆盖个人发起、领导发起、部门发起三类督办场景</w:t>
      </w:r>
    </w:p>
    <w:p>
      <w:pPr>
        <w:spacing w:before="3000"/>
        <w:jc w:val="center"/>
      </w:pPr>
      <w:r>
        <w:rPr>
          <w:rFonts w:ascii="Microsoft YaHei" w:hAnsi="Microsoft YaHei" w:eastAsia="Microsoft YaHei"/>
          <w:b w:val="0"/>
          <w:color w:val="5A6978"/>
          <w:sz w:val="22"/>
        </w:rPr>
        <w:t>2026年6月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一、方案摘要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F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0F534C"/>
                <w:sz w:val="22"/>
              </w:rPr>
              <w:t>建设目标</w:t>
            </w:r>
          </w:p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建立一套覆盖发起、审批/确认、派发、签收、执行反馈、异常处理、验收、评分、归档的督办闭环机制。重点解决事项派发后无人签收、责任人拒收、延期无审批、转办无闭环、催办无留痕、领导批示无法落地等管理痛点。</w:t>
            </w:r>
          </w:p>
        </w:tc>
      </w:tr>
    </w:tbl>
    <w:p/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1"/>
        </w:rPr>
        <w:t>本方案将督办事项作为独立的管理对象，不依赖某一个具体 OA 审批流程。无论事项来自个人、领导还是部门，只要进入督办体系，就必须具备责任人、完成时限、过程反馈、异常处理、亮灯预警、验收评分和归档记录。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color w:val="0F534C"/>
          <w:sz w:val="21"/>
        </w:rPr>
        <w:t>图 1：督办总体流转主线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340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all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40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二、三类督办流程概览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728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流程类型</w:t>
            </w:r>
          </w:p>
        </w:tc>
        <w:tc>
          <w:tcPr>
            <w:tcW w:type="dxa" w:w="2952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3096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关键控制点</w:t>
            </w:r>
          </w:p>
        </w:tc>
        <w:tc>
          <w:tcPr>
            <w:tcW w:type="dxa" w:w="2520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闭环要求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个人发起督办</w:t>
            </w:r>
          </w:p>
        </w:tc>
        <w:tc>
          <w:tcPr>
            <w:tcW w:type="dxa" w:w="295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员工发现跨部门事项、长期未推动事项、本人事项需正式跟踪</w:t>
            </w:r>
          </w:p>
        </w:tc>
        <w:tc>
          <w:tcPr>
            <w:tcW w:type="dxa" w:w="30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发起后必须审批；审批通过后才允许派发</w:t>
            </w:r>
          </w:p>
        </w:tc>
        <w:tc>
          <w:tcPr>
            <w:tcW w:type="dxa" w:w="252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验收通过并评分后办结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领导发起督办</w:t>
            </w:r>
          </w:p>
        </w:tc>
        <w:tc>
          <w:tcPr>
            <w:tcW w:type="dxa" w:w="295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领导指示、会议纪要、重点专项、临时交办事项</w:t>
            </w:r>
          </w:p>
        </w:tc>
        <w:tc>
          <w:tcPr>
            <w:tcW w:type="dxa" w:w="30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可直接生成督办；责任人必须签收；拒收需抄送领导</w:t>
            </w:r>
          </w:p>
        </w:tc>
        <w:tc>
          <w:tcPr>
            <w:tcW w:type="dxa" w:w="252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领导或督办员验收评分后归档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部门发起督办</w:t>
            </w:r>
          </w:p>
        </w:tc>
        <w:tc>
          <w:tcPr>
            <w:tcW w:type="dxa" w:w="295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部门间协作、制度执行、项目推进、专项整改</w:t>
            </w:r>
          </w:p>
        </w:tc>
        <w:tc>
          <w:tcPr>
            <w:tcW w:type="dxa" w:w="30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部门负责人确认；跨部门需接收确认</w:t>
            </w:r>
          </w:p>
        </w:tc>
        <w:tc>
          <w:tcPr>
            <w:tcW w:type="dxa" w:w="252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跨部门拒绝进入协调或领导批示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三、个人发起督办流程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1"/>
        </w:rPr>
        <w:t>个人发起必须先确认督办是否成立，避免普通协作事项被随意升级为正式督办。审批退回、不成立、拒收、超时未签收都必须有明确处理路径。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color w:val="0F534C"/>
          <w:sz w:val="21"/>
        </w:rPr>
        <w:t>图 2：个人发起督办流程图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131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ersonal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31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四、领导发起转交员工流程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1"/>
        </w:rPr>
        <w:t>领导交办可以跳过普通审批，但不能跳过责任人签收、执行反馈、验收评分和归档。拒收或超时未签收时，系统必须抄送领导或部门负责人。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color w:val="0F534C"/>
          <w:sz w:val="21"/>
        </w:rPr>
        <w:t>图 3：领导发起转交员工流程图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131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eader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31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五、部门发起督办流程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1"/>
        </w:rPr>
        <w:t>部门发起需要先由部门负责人确认。跨部门督办必须增加接收部门承接确认，拒绝承接时进入协调或领导批示，不能直接关闭。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color w:val="0F534C"/>
          <w:sz w:val="21"/>
        </w:rPr>
        <w:t>图 4：部门发起督办流程图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131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partmen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31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六、统一主线节点规则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512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952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核心动作</w:t>
            </w:r>
          </w:p>
        </w:tc>
        <w:tc>
          <w:tcPr>
            <w:tcW w:type="dxa" w:w="2232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责任角色</w:t>
            </w:r>
          </w:p>
        </w:tc>
        <w:tc>
          <w:tcPr>
            <w:tcW w:type="dxa" w:w="3600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关键规则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 发起</w:t>
            </w:r>
          </w:p>
        </w:tc>
        <w:tc>
          <w:tcPr>
            <w:tcW w:type="dxa" w:w="295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填写督办事项、目标、时限、附件</w:t>
            </w:r>
          </w:p>
        </w:tc>
        <w:tc>
          <w:tcPr>
            <w:tcW w:type="dxa" w:w="223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发起人 / 领导 / 部门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信息不完整不能提交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 审批或确认</w:t>
            </w:r>
          </w:p>
        </w:tc>
        <w:tc>
          <w:tcPr>
            <w:tcW w:type="dxa" w:w="295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判断督办是否成立</w:t>
            </w:r>
          </w:p>
        </w:tc>
        <w:tc>
          <w:tcPr>
            <w:tcW w:type="dxa" w:w="223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审批人 / 部门负责人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不成立必须说明原因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 派发</w:t>
            </w:r>
          </w:p>
        </w:tc>
        <w:tc>
          <w:tcPr>
            <w:tcW w:type="dxa" w:w="295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指定责任人、协办人、完成时限</w:t>
            </w:r>
          </w:p>
        </w:tc>
        <w:tc>
          <w:tcPr>
            <w:tcW w:type="dxa" w:w="223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派发人 / 督办员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没有责任人和时限不能派发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 签收</w:t>
            </w:r>
          </w:p>
        </w:tc>
        <w:tc>
          <w:tcPr>
            <w:tcW w:type="dxa" w:w="295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责任人确认接收任务</w:t>
            </w:r>
          </w:p>
        </w:tc>
        <w:tc>
          <w:tcPr>
            <w:tcW w:type="dxa" w:w="223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不签收必须催签并升级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 执行反馈</w:t>
            </w:r>
          </w:p>
        </w:tc>
        <w:tc>
          <w:tcPr>
            <w:tcW w:type="dxa" w:w="295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提交进度、卡点、附件、完成结果</w:t>
            </w:r>
          </w:p>
        </w:tc>
        <w:tc>
          <w:tcPr>
            <w:tcW w:type="dxa" w:w="223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 / 协办人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长期无反馈自动催办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 异常处理</w:t>
            </w:r>
          </w:p>
        </w:tc>
        <w:tc>
          <w:tcPr>
            <w:tcW w:type="dxa" w:w="295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延期、变更、转办、拒收、批示</w:t>
            </w:r>
          </w:p>
        </w:tc>
        <w:tc>
          <w:tcPr>
            <w:tcW w:type="dxa" w:w="223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相关责任角色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异常不能悬空，必须回到主线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 验收</w:t>
            </w:r>
          </w:p>
        </w:tc>
        <w:tc>
          <w:tcPr>
            <w:tcW w:type="dxa" w:w="295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确认完成质量和交付物</w:t>
            </w:r>
          </w:p>
        </w:tc>
        <w:tc>
          <w:tcPr>
            <w:tcW w:type="dxa" w:w="223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发起人 / 督办人 / 领导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退回必须写整改要求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 评分</w:t>
            </w:r>
          </w:p>
        </w:tc>
        <w:tc>
          <w:tcPr>
            <w:tcW w:type="dxa" w:w="295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按时效、质量、协同、材料完整性评分</w:t>
            </w:r>
          </w:p>
        </w:tc>
        <w:tc>
          <w:tcPr>
            <w:tcW w:type="dxa" w:w="223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验收人 / 领导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评分后才允许办结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9. 归档</w:t>
            </w:r>
          </w:p>
        </w:tc>
        <w:tc>
          <w:tcPr>
            <w:tcW w:type="dxa" w:w="295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形成结论和过程留痕</w:t>
            </w:r>
          </w:p>
        </w:tc>
        <w:tc>
          <w:tcPr>
            <w:tcW w:type="dxa" w:w="223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督办人 / 系统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归档后进入统计分析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七、关键闭环机制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467"/>
          <w:sz w:val="25"/>
        </w:rPr>
        <w:t>1. 签收闭环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1"/>
        </w:rPr>
        <w:t>派发后必须进入签收环节。责任人签收时需要确认任务范围、完成标准、完成时限和交付物。未签收、延期签收、拒收都必须进入明确处理路径。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4392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系统动作</w:t>
            </w:r>
          </w:p>
        </w:tc>
        <w:tc>
          <w:tcPr>
            <w:tcW w:type="dxa" w:w="3816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处理结果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正常签收</w:t>
            </w:r>
          </w:p>
        </w:tc>
        <w:tc>
          <w:tcPr>
            <w:tcW w:type="dxa" w:w="439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记录签收时间和签收人</w:t>
            </w:r>
          </w:p>
        </w:tc>
        <w:tc>
          <w:tcPr>
            <w:tcW w:type="dxa" w:w="381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进入执行中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小时未签收</w:t>
            </w:r>
          </w:p>
        </w:tc>
        <w:tc>
          <w:tcPr>
            <w:tcW w:type="dxa" w:w="439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提醒责任人</w:t>
            </w:r>
          </w:p>
        </w:tc>
        <w:tc>
          <w:tcPr>
            <w:tcW w:type="dxa" w:w="381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保持待签收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小时未签收</w:t>
            </w:r>
          </w:p>
        </w:tc>
        <w:tc>
          <w:tcPr>
            <w:tcW w:type="dxa" w:w="439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抄送派发人并亮黄灯</w:t>
            </w:r>
          </w:p>
        </w:tc>
        <w:tc>
          <w:tcPr>
            <w:tcW w:type="dxa" w:w="381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进入签收预警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个工作日未签收</w:t>
            </w:r>
          </w:p>
        </w:tc>
        <w:tc>
          <w:tcPr>
            <w:tcW w:type="dxa" w:w="439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抄送责任人上级并亮红灯</w:t>
            </w:r>
          </w:p>
        </w:tc>
        <w:tc>
          <w:tcPr>
            <w:tcW w:type="dxa" w:w="381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进入签收超期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仍未签收</w:t>
            </w:r>
          </w:p>
        </w:tc>
        <w:tc>
          <w:tcPr>
            <w:tcW w:type="dxa" w:w="439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要求派发人改派、强制签收或升级批示</w:t>
            </w:r>
          </w:p>
        </w:tc>
        <w:tc>
          <w:tcPr>
            <w:tcW w:type="dxa" w:w="381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进入升级处理中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责任人拒收</w:t>
            </w:r>
          </w:p>
        </w:tc>
        <w:tc>
          <w:tcPr>
            <w:tcW w:type="dxa" w:w="439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填写拒收原因和建议责任人</w:t>
            </w:r>
          </w:p>
        </w:tc>
        <w:tc>
          <w:tcPr>
            <w:tcW w:type="dxa" w:w="381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派发人同意后重派，驳回后继续签收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467"/>
          <w:sz w:val="25"/>
        </w:rPr>
        <w:t>2. 异常闭环</w:t>
      </w:r>
    </w:p>
    <w:p>
      <w:pPr>
        <w:spacing w:before="40" w:after="80"/>
      </w:pPr>
      <w:r>
        <w:rPr>
          <w:rFonts w:ascii="Microsoft YaHei" w:hAnsi="Microsoft YaHei" w:eastAsia="Microsoft YaHei"/>
          <w:b/>
          <w:color w:val="0F534C"/>
          <w:sz w:val="21"/>
        </w:rPr>
        <w:t>图 5：异常动作闭环流程图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6189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xception-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6189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584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异常动作</w:t>
            </w:r>
          </w:p>
        </w:tc>
        <w:tc>
          <w:tcPr>
            <w:tcW w:type="dxa" w:w="3960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必须填写内容</w:t>
            </w:r>
          </w:p>
        </w:tc>
        <w:tc>
          <w:tcPr>
            <w:tcW w:type="dxa" w:w="4608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闭环规则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延期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延期原因、新完成时间、影响范围</w:t>
            </w:r>
          </w:p>
        </w:tc>
        <w:tc>
          <w:tcPr>
            <w:tcW w:type="dxa" w:w="460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同意后更新时限并记录延期次数；驳回则维持原时限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变更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变更内容、变更原因、影响说明</w:t>
            </w:r>
          </w:p>
        </w:tc>
        <w:tc>
          <w:tcPr>
            <w:tcW w:type="dxa" w:w="460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生成变更版本，不能覆盖原督办要求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转办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转办原因、新责任人、责任说明</w:t>
            </w:r>
          </w:p>
        </w:tc>
        <w:tc>
          <w:tcPr>
            <w:tcW w:type="dxa" w:w="460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新责任人必须重新签收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拒收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拒收原因、建议责任人、是否需协调</w:t>
            </w:r>
          </w:p>
        </w:tc>
        <w:tc>
          <w:tcPr>
            <w:tcW w:type="dxa" w:w="460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不能直接关闭，必须回到派发或领导批示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批示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批示意见、承接动作、责任人</w:t>
            </w:r>
          </w:p>
        </w:tc>
        <w:tc>
          <w:tcPr>
            <w:tcW w:type="dxa" w:w="460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批示必须形成新待办或推动状态变化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催办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催办对象、催办内容、催办时间</w:t>
            </w:r>
          </w:p>
        </w:tc>
        <w:tc>
          <w:tcPr>
            <w:tcW w:type="dxa" w:w="460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必须留痕并进入统计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八、亮灯预警规则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1"/>
        </w:rPr>
        <w:t>亮灯规则用于让领导和督办人员快速识别风险。建议将签收、进度、到期、验收分别亮灯，总体灯色取最严重状态。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color w:val="0F534C"/>
          <w:sz w:val="21"/>
        </w:rPr>
        <w:t>图 6：亮灯预警与升级流程图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29578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warning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578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灯色</w:t>
            </w:r>
          </w:p>
        </w:tc>
        <w:tc>
          <w:tcPr>
            <w:tcW w:type="dxa" w:w="4536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4176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系统动作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绿灯</w:t>
            </w:r>
          </w:p>
        </w:tc>
        <w:tc>
          <w:tcPr>
            <w:tcW w:type="dxa" w:w="453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未临期，正常反馈</w:t>
            </w:r>
          </w:p>
        </w:tc>
        <w:tc>
          <w:tcPr>
            <w:tcW w:type="dxa" w:w="41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正常展示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黄灯</w:t>
            </w:r>
          </w:p>
        </w:tc>
        <w:tc>
          <w:tcPr>
            <w:tcW w:type="dxa" w:w="453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距截止时间小于 20%，或签收/反馈即将超时</w:t>
            </w:r>
          </w:p>
        </w:tc>
        <w:tc>
          <w:tcPr>
            <w:tcW w:type="dxa" w:w="41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提醒责任人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红灯</w:t>
            </w:r>
          </w:p>
        </w:tc>
        <w:tc>
          <w:tcPr>
            <w:tcW w:type="dxa" w:w="453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已超期，或拒收/延期/转办未处理</w:t>
            </w:r>
          </w:p>
        </w:tc>
        <w:tc>
          <w:tcPr>
            <w:tcW w:type="dxa" w:w="41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抄送上级和督办人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黑灯</w:t>
            </w:r>
          </w:p>
        </w:tc>
        <w:tc>
          <w:tcPr>
            <w:tcW w:type="dxa" w:w="453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严重超期，或重大事项无人处理</w:t>
            </w:r>
          </w:p>
        </w:tc>
        <w:tc>
          <w:tcPr>
            <w:tcW w:type="dxa" w:w="417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升级领导批示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九、验收评分机制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1"/>
        </w:rPr>
        <w:t>督办事项完成后不应直接关闭，必须先验收，再评分，最后归档。评分结果可用于部门执行力分析和责任人绩效参考。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16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评分项</w:t>
            </w:r>
          </w:p>
        </w:tc>
        <w:tc>
          <w:tcPr>
            <w:tcW w:type="dxa" w:w="1080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分值</w:t>
            </w:r>
          </w:p>
        </w:tc>
        <w:tc>
          <w:tcPr>
            <w:tcW w:type="dxa" w:w="7056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按时完成</w:t>
            </w:r>
          </w:p>
        </w:tc>
        <w:tc>
          <w:tcPr>
            <w:tcW w:type="dxa" w:w="10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</w:t>
            </w:r>
          </w:p>
        </w:tc>
        <w:tc>
          <w:tcPr>
            <w:tcW w:type="dxa" w:w="705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是否按计划完成，是否发生超期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完成质量</w:t>
            </w:r>
          </w:p>
        </w:tc>
        <w:tc>
          <w:tcPr>
            <w:tcW w:type="dxa" w:w="10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</w:t>
            </w:r>
          </w:p>
        </w:tc>
        <w:tc>
          <w:tcPr>
            <w:tcW w:type="dxa" w:w="705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是否达到督办目标和交付标准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反馈及时性</w:t>
            </w:r>
          </w:p>
        </w:tc>
        <w:tc>
          <w:tcPr>
            <w:tcW w:type="dxa" w:w="10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  <w:tc>
          <w:tcPr>
            <w:tcW w:type="dxa" w:w="705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是否按要求反馈进展和卡点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协同配合</w:t>
            </w:r>
          </w:p>
        </w:tc>
        <w:tc>
          <w:tcPr>
            <w:tcW w:type="dxa" w:w="10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705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是否主动协同相关部门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材料完整性</w:t>
            </w:r>
          </w:p>
        </w:tc>
        <w:tc>
          <w:tcPr>
            <w:tcW w:type="dxa" w:w="10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705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附件、说明、过程记录是否完整</w:t>
            </w:r>
          </w:p>
        </w:tc>
      </w:tr>
    </w:tbl>
    <w:p/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1"/>
        </w:rPr>
        <w:t>评分建议：90-100 为优秀，80-89 为良好，60-79 为合格，60 分以下为不合格并进入复盘。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十、领导关注看板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1"/>
        </w:rPr>
        <w:t>领导端不需要处理所有细节，应聚焦重大事项、超期事项、拒收事项和跨部门争议。建议建设以下看板指标。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督办总量、待签收数量、执行中数量、已超期数量。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按部门、责任人、灯色统计的风险分布。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重大督办事项清单和黑灯事项清单。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拒收、延期、转办、变更次数排行。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平均办结周期、按时完成率、验收通过率、评分分布。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十一、落地建议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584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752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建设重点</w:t>
            </w:r>
          </w:p>
        </w:tc>
        <w:tc>
          <w:tcPr>
            <w:tcW w:type="dxa" w:w="3816"/>
            <w:shd w:fill="0F766E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交付结果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第一阶段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统一督办单、状态、签收、催办、亮灯规则</w:t>
            </w:r>
          </w:p>
        </w:tc>
        <w:tc>
          <w:tcPr>
            <w:tcW w:type="dxa" w:w="381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形成可运行的基础督办闭环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第二阶段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补齐延期、变更、转办、拒收、批示机制</w:t>
            </w:r>
          </w:p>
        </w:tc>
        <w:tc>
          <w:tcPr>
            <w:tcW w:type="dxa" w:w="381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解决异常事项悬空问题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第三阶段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上线验收评分和领导看板</w:t>
            </w:r>
          </w:p>
        </w:tc>
        <w:tc>
          <w:tcPr>
            <w:tcW w:type="dxa" w:w="381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形成执行力分析和管理抓手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第四阶段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接入会议纪要、项目计划、重点工作来源</w:t>
            </w:r>
          </w:p>
        </w:tc>
        <w:tc>
          <w:tcPr>
            <w:tcW w:type="dxa" w:w="381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扩展为统一事项督办平台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F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0F534C"/>
                <w:sz w:val="22"/>
              </w:rPr>
              <w:t>结论</w:t>
            </w:r>
          </w:p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督办系统的关键不是“能发起”，而是“必须闭环”。建议将签收、拒收、延期、变更、转办、催办、批示、验收、评分全部设计为可追踪、可升级、可统计的流程动作，确保事项不会停在某个无人处理的状态。</w:t>
            </w:r>
          </w:p>
        </w:tc>
      </w:tr>
    </w:tbl>
    <w:p/>
    <w:sectPr w:rsidR="00FC693F" w:rsidRPr="0006063C" w:rsidSect="00034616">
      <w:footerReference w:type="default" r:id="rId15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8828C"/>
        <w:sz w:val="18"/>
      </w:rPr>
      <w:t>督办全流程设计方案｜领导汇报版｜含流程图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