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rPr>
          <w:rFonts w:ascii="Microsoft YaHei" w:hAnsi="Microsoft YaHei" w:eastAsia="Microsoft YaHei"/>
          <w:b/>
          <w:color w:val="1F4E79"/>
          <w:sz w:val="30"/>
        </w:rPr>
        <w:t>2026年杭州市临平区整体发展布局</w:t>
      </w:r>
    </w:p>
    <w:p w14:paraId="0DC02466">
      <w:pPr>
        <w:pStyle w:val="2"/>
        <w:keepNext w:val="0"/>
        <w:keepLines w:val="0"/>
        <w:widowControl/>
        <w:suppressLineNumbers w:val="0"/>
      </w:pPr>
      <w:r>
        <w:rPr>
          <w:rFonts w:ascii="Microsoft YaHei" w:hAnsi="Microsoft YaHei" w:eastAsia="Microsoft YaHei"/>
          <w:b/>
          <w:color w:val="C00000"/>
          <w:sz w:val="20"/>
        </w:rPr>
        <w:t>【联网校正】截至2026-06-03，公开报道显示杭州二手房成交活跃度回升：2026年4月市区成交9968套，5月全市网签9087套，连续三个月突破9000套。但市场呈结构性分化，本文件中的区县规划应作为产业/配套判断线索，不能直接等同于房价上涨结论；具体买房需叠加成交价、挂牌量、房龄、学区、地铁和项目规则核验。</w:t>
      </w:r>
    </w:p>
    <w:p w14:paraId="3E6D26A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2026年作为临平区“十五五”规划开局之年，也是临平融沪拥杭深化之年、“产城融合示范区”建设攻坚之年，立足杭州“一核九星”“一主六辅三城”空间布局定位（临平为“九星”之一、“六辅”之一），紧扣杭州市委赋予的“融沪拥杭、联东带西”节点职责，以“高质量发展”为核心，以“做强城东智造大走廊核心力量、打造深度融沪桥头堡、建设杭州城东新中心”为目标，构建“平台引领、产业聚能、全域协同、民生提质”的整体发展布局，全面融入杭州世界一流大都市建设，具体围绕以下五大维度展开，所有内容均参考2026年临平区委书记访谈、杭州市政府工作报告及临平区官方规划文件、产业发展资料。</w:t>
      </w:r>
    </w:p>
    <w:p w14:paraId="33B26B8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一、核心定位（锚定发展方向）</w:t>
      </w:r>
    </w:p>
    <w:p w14:paraId="5F6B534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2026年临平区核心发展定位：杭州大都市东部智造核心、城东科创大走廊重要节点、深度融沪桥头堡，先进制造与数字经济融合发展标杆、运河文化传承发展示范区，产城融合示范区、现代化宜居新城，同时聚焦“创新驱动、融沪赋能、文化铸魂、共同富裕”，紧扣“南融、北创、东靓、西优、中兴”区域发展战略，推动经济社会发展提质增效，力争实现地区生产总值增长5.5%以上、规上工业增加值增长6%以上，全社会研发经费投入强度稳步提升，绿色能源产业规模持续扩大，全力打造“智造引领、开放包容、生态宜居、幸福和谐”的现代化新临平，筑牢杭州东部发展智造与开放双重支撑，为杭州奋进“世界一流”贡献临平力量。</w:t>
      </w:r>
    </w:p>
    <w:p w14:paraId="734462D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二、空间布局（四大平台引领，全域协同发力）</w:t>
      </w:r>
    </w:p>
    <w:p w14:paraId="076C08A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立足“多平台联动、产城深度融合、文城景共生”原则，以四大核心平台为支撑，划分特色功能片区，推动空间资源优化配置，充分发挥“融沪拥杭、联东带西”节点作用，深化“南融”战略、推进全域协同，形成“核心引领、多点支撑、全域协同”的空间发展格局。</w:t>
      </w:r>
    </w:p>
    <w:p w14:paraId="2EDC215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四大核心平台（发展主阵地、主引擎）</w:t>
      </w:r>
    </w:p>
    <w:p w14:paraId="7CF2EC1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1）临平经济技术开发区：锚定“争创国家级经济技术开发区”目标，重点围绕省“415X”、市“296X”先进制造业集群建设，聚焦新能源装备、高端装备、生物医药等核心产业，依托金羽新能、相关龙头企业，完善先进制造全产业链布局，推动规上工业增加值稳步增长，2026年延续新能源装备产业良好发展势头，推动绿色能源产业生态圈持续壮大，落地更多亿元以上优质产业项目，打造环高能级平台创新生态圈和全链条创新生态，同时深化教科人一体改革，推动产学研协同，助力高能级科研平台成果转化，联动临平数智城实现科创与制造协同发展。</w:t>
      </w:r>
    </w:p>
    <w:p w14:paraId="1616F45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2）临平数智城（含临平新城）：立足“杭州城东新中心核心区、市级重点发展区块”定位，深度融入城东科创大走廊高质量融合发展，重点发展算力经济、时尚产业、新消费等产业，以“一年启动建设、三年拉出框架、五年精彩亮相”的节奏，打造高品质复合型都市区，加快艺尚小镇、算力小镇、新消费产业带“两镇一带”未来产业集群建设，完善科创孵化、人才安居、商业配套等设施，推进乔中路、鑫园路等路网建设，打造青年友好型科创消费新城和数字经济与实体经济融合发展高地，彰显临平“南融”主城的门户形象。</w:t>
      </w:r>
    </w:p>
    <w:p w14:paraId="762C87C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3）运河文化旅游度假区：锚定“文旅融合示范标杆”目标，聚焦运河文化传承与生态价值转化，深化“文化+旅游+休闲+研学”布局，保护京杭大运河临平段生态资源，挖掘运河文化历史内涵，联动周边文旅资源，完善文旅配套设施，打造高品质运河文化文旅目的地和长三角休闲研学标杆，推动文旅产业与新消费深度融合，激活文旅消费活力。</w:t>
      </w:r>
    </w:p>
    <w:p w14:paraId="245BCCD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4）杭州未来科技城临平片区：立足“科创转化桥头堡”定位，重点发展数字经济、集成电路、生物医药等新兴产业，深化与杭州主城科创平台合作，推动“研发在主城+转化在临平”协同模式落地，依托浙江图灵算力研究院等高能级平台，完善科创转化体系，培育一批科创型中小企业，打造科创成果中试转化高地和新兴产业培育基地，吸引知存科技、ZYNALOG徴格半导体等优质企业集聚发展。</w:t>
      </w:r>
    </w:p>
    <w:p w14:paraId="5BF2125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全域协同布局</w:t>
      </w:r>
    </w:p>
    <w:p w14:paraId="70EF7B2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1）城区提升：优化临平、南苑、星桥等核心城区功能，推进城市精细化管理，完善商业、教育、医疗等配套，推进临平数智城核心启动区建设，完成相关区域城市更新，打造高品质宜居宜业城区，拓展产业发展空间，推动城市功能与杭州主城无缝衔接，新增人口集聚能力持续增强，让临平更具主城气质。</w:t>
      </w:r>
    </w:p>
    <w:p w14:paraId="1A2A46C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2）镇街赋能：强化塘栖、崇贤等重点镇街产业承载能力，聚焦特色产业，承接核心平台功能外溢，完善城镇配套设施，推动城乡基础设施、公共服务一体化；深入实施“千万工程”，推进和美乡村提质扩面，挖掘镇街特色文旅资源，探索富民增收新模式，促进人口、产业向城镇集聚，助力共同富裕。</w:t>
      </w:r>
    </w:p>
    <w:p w14:paraId="0E65995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3）交通联动：深度融入杭州“双网融合”交通体系，加快推进沪杭高速公路乔司段改建等重大交通项目，开通雪海路、三曹街等7条重点道路，完善轨道交通配套延伸和区域快速路网，强化与杭州核心城区、钱塘区、余杭区及上海、嘉兴等周边区域的通勤衔接，提升临平南站枢纽运力，打通内外交通壁垒，提升“融沪拥杭”交通枢纽功能，助力长三角一体化发展。</w:t>
      </w:r>
    </w:p>
    <w:p w14:paraId="589A04D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三、产业布局（创新驱动，构建现代化产业体系）</w:t>
      </w:r>
    </w:p>
    <w:p w14:paraId="2B542DB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2026年临平区以“产业质效提升、产业集群提质、数实深度融合”为核心，抢抓人工智能、新质生产力发展机遇，构建“数字引领、制造筑基、服务赋能、新兴突破”的产业布局，重点推进五大产业发力，全力承接省“415X”、市“296X”先进制造业集群建设，明确“243X”发展思路（以新能源装备、高端装备两大千亿级培育产业为核心，培育四大百亿级新兴产业，推动三大传统产业转型升级），实施“三个年”活动，为产业发展保驾护航。</w:t>
      </w:r>
    </w:p>
    <w:p w14:paraId="098D371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核心产业：人工智能与算力经济（抢抓产业风口）</w:t>
      </w:r>
    </w:p>
    <w:p w14:paraId="394515B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以临平数智城、杭州未来科技城临平片区为核心载体，聚焦人工智能、算力经济两大引领性产业，紧扣杭州建设“人工智能创新发展第一城”目标，推动人工智能技术与新能源装备、高端装备、数字经济等产业深度融合，落地一批AI赋能制造、AI+消费试点项目；依托浙江图灵算力研究院、相关企业研发平台，推进算力应用、智能终端研发等领域突破，培育一批AI相关创新企业，做强算力小镇产业生态，打造全球一流的算力产业创新区、长三角算力应用端枢纽中心，力争2026年人工智能与算力相关产业营收稳步增长，助力临平数智城产业地标提质增效。</w:t>
      </w:r>
    </w:p>
    <w:p w14:paraId="0A273CB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重点产业：先进制造业（筑牢产业根基）</w:t>
      </w:r>
    </w:p>
    <w:p w14:paraId="1096E3E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聚焦“先进制造新高地”目标，全量承接杭州“296X”产业集群建设，大力培育“243X”先进制造业集群，2026年确保新能源装备、高端装备两大千亿级培育产业规模持续壮大，四大百亿级新兴产业（生物医药、集成电路、网络通信、具身智能机器人）稳步提升；重点发展新能源装备产业，依托金羽新能等企业，深化产学研合作，聚焦固态电池等核心技术突破，推动绿色能源产业高质量发展，力争绿色能源产业生态圈产值向千亿目标迈进，巩固临平在杭州绿色能源产业中的核心地位；深化“腾笼换鸟”攻坚行动，探索“工业上楼”模式，推进片区式工业园区有机更新，提升产业平台承载能力，新出让工业用地平均容积率持续提高。</w:t>
      </w:r>
    </w:p>
    <w:p w14:paraId="735405F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支撑产业：现代服务业（提质增效）</w:t>
      </w:r>
    </w:p>
    <w:p w14:paraId="509F2F0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重点发展科技服务、软件信息、现代物流、商务服务等生产性服务业，深化“科学家+企业家+投资家”协同机制，推动科技成果转化服务提质，打造城东科创大走廊科创成果转化首选地；同时激活消费活力，实施提振消费专项行动，推进消费品“以旧换新”，优化商圈布局，依托临平银泰inPARK等商业载体，挖掘文旅、餐饮、康养、新消费等服务消费潜力，拓展悦己消费、银发经济等新增长点，依托长三角新消费总部基地，打造良性新消费产业生态圈，推动社会消费品零售总额稳步增长，助力消费提质升级。</w:t>
      </w:r>
    </w:p>
    <w:p w14:paraId="2AFDEA6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新兴产业：新质生产力培育（抢占发展赛道）</w:t>
      </w:r>
    </w:p>
    <w:p w14:paraId="6008643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抢滩“6+X”未来产业集群，积极布局低空经济、合成生物、固态电池等新赛道，依托高能级科研平台，推动前沿技术研发和成果转化；重点推进金羽新能等百亿级新质生产力项目落地见效，培育一批“硬科技”企业，推动高端芯片、算力应用、固态电池等技术产业化，深化与北京大学等高校的产学研合作，聚焦关键材料突破和人才培养，拓宽基金支持路径，新增天使引导基金直接投资模式，助力新兴产业快速成长，打造新质生产力培育先行区。</w:t>
      </w:r>
    </w:p>
    <w:p w14:paraId="4C52BEC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5. 创新赋能体系（强化动力支撑）</w:t>
      </w:r>
    </w:p>
    <w:p w14:paraId="729C4E2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深化“两新”融合，落地浙江图灵算力研究院、中国服装科创研究院、浙江省服装产业创新服务综合体等高能级科研平台，建成省级以上研发平台20余个，支持相关科研机构争创首批部级孵化器，加快科创成果双向转化中心高效运营，建成完善“概念验证—中试孵化—产业落地”全流程体系；深化教科人一体改革，推行“高校+平台+企业+产业链”结对合作机制，实施高层次人才引育计划，引育科技型企业家和高端人才，2026年新增国高企65家、省科小150家、市级以上企业研发机构25家以上；完善企业研发激励政策，优化升级惠企政策体系，深化惠企政策“免申即享”“即申即享”，深入开展研发“清零”行动，提升企业创新主体地位，强化企业科技创新主体作用。</w:t>
      </w:r>
    </w:p>
    <w:p w14:paraId="74A0EC9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四、协同发展与民生提质（完善保障，推动共同富裕）</w:t>
      </w:r>
    </w:p>
    <w:p w14:paraId="24AB887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区域协同：主动融入多重发展战略</w:t>
      </w:r>
    </w:p>
    <w:p w14:paraId="5086705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1）融入杭州全域发展：紧扣杭州“一核九星”“一主六辅三城”布局，强化与杭州核心城区、钱塘区的功能衔接，深度融入城东科创大走廊高质量融合发展，承接高端产业外溢和人口疏解，深化“南融”战略，全力做强城东科创大走廊核心力量，助力杭州唱好杭甬“双城记”、融入长三角一体化发展。</w:t>
      </w:r>
    </w:p>
    <w:p w14:paraId="072342D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2）深化跨区域合作：加强与上海、嘉兴等周边区域的联动发展，发挥“融沪桥头堡”节点作用，加快打造沪杭未来智造协同发展试验区，持续建强长三角G60浙江（临平）科创基地，合作共建杭嘉湖一体化发展先行示范区，吸引长三角和大上海优质创新资源、“大好高”“链群配”项目落地临平；联动周边区域打造产业协同、文旅共建、交通互联的发展格局，提升临平在杭州都市圈东部的辐射带动能力。</w:t>
      </w:r>
    </w:p>
    <w:p w14:paraId="27DB81D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民生提质：补齐短板，打造宜居环境</w:t>
      </w:r>
    </w:p>
    <w:p w14:paraId="3806F93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1）完善基础设施：推进交通路网优化、市政配套升级，加快沪杭高速公路乔司段改建等重大交通项目建设，开通7条重点道路，完善“15分钟社区生活圈”，优化教育资源布局，通过名校引领激活“智育未来”新动能，完善医疗配套设施，提升公共服务均等化水平，推进城市安全韧性工程建设，提升城市承载能力，让居民共享发展成果。</w:t>
      </w:r>
    </w:p>
    <w:p w14:paraId="472399A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2）优化营商环境：延续惠企政策框架，深化惠企政策“免申即享”“即申即享”，确保新增政策主动推送率100%；强化项目全生命周期管理，用好项目全生命周期管理机制，紧盯“千项万亿”等重大项目，力争亿元以上项目早落地、早投产、早见效，提升政策聚焦度和精准性，实施创新主体质量提升年、城乡综合品质提升年、干部队伍作风提升年“三个年”活动，优化营商环境，增强企业发展信心。</w:t>
      </w:r>
    </w:p>
    <w:p w14:paraId="351F065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3）生态与民生并重：坚守生态底线，推进生态环境治理，深化全域“无废城市”建设，依托京杭大运河、临平公园等生态资源，打造生态宜居环境，加快“两山”转化实践，推动生态优势转化为发展优势；推进城乡融合发展，以“千万工程”为牵引，深化文旅、城乡、数实“三个融合”，促进人口、产业向城镇集聚，推进和美乡村提质扩面，缩小城乡差距，深化共同富裕实践，推动共同富裕取得实质性进展，持续提升居民幸福感、获得感。</w:t>
      </w:r>
    </w:p>
    <w:p w14:paraId="5B3A0D7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五、2026年发展核心目标（落地导向）</w:t>
      </w:r>
    </w:p>
    <w:p w14:paraId="7420367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围绕上述布局，2026年临平区重点实现“五个突破”：一是两大千亿级培育产业规模持续壮大，四大百亿级新兴产业提质增效，绿色能源产业生态圈持续完善，算力经济、时尚产业品牌影响力显著提升；二是规上工业增加值增长6%以上，先进制造业占比稳步提升，新增国高企65家以上，绿色能源产业规上产值保持较快增长，巩固杭州绿色能源产业核心地位；三是科创成果转化能力显著增强，落地亿元以上产业项目55个、50亿元以上项目2个，百亿元级项目实现新突破，吸引更多优质科创企业集聚；四是交通、医疗、教育等基础设施不断完善，开通7条重点道路，社会消费品零售总额稳步增长，新消费、文旅消费活力持续释放；五是公共服务均等化水平持续提升，城乡居民收入增长与经济增长同步，生态环境质量保持优良，运河文化传承成效显著，“融沪拥杭”格局持续深化，全力打造中国式现代化和共同富裕区域范例，高水平绘就智造临平、开放临平、幸福临平的新画卷。</w:t>
      </w:r>
    </w:p>
    <w:p w14:paraId="42D4426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238089D"/>
    <w:rsid w:val="52380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2026-02-10T12:38:00Z</dcterms:created>
  <dc:creator>苏暖阳</dc:creator>
  <cp:lastModifiedBy>苏暖阳</cp:lastModifiedBy>
  <dcterms:modified xsi:type="dcterms:W3CDTF">2026-02-10T12:39:12Z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53C166A2F5144A808FA33FE4B18CEC31_11</vt:lpwstr>
  </property>
  <property fmtid="{D5CDD505-2E9C-101B-9397-08002B2CF9AE}" pid="4" name="KSOTemplateDocerSaveRecord">
    <vt:lpwstr>eyJoZGlkIjoiMjM4ZTNiOWU4YWUzY2Q2NGI5MDA5MDQ1MDYzMGJhZTEiLCJ1c2VySWQiOiI0MTU5MzAzMDcifQ==</vt:lpwstr>
  </property>
</Properties>
</file>