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36"/>
        </w:rPr>
        <w:t>2026年杭州市全域房产政策及补贴联网校正版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0"/>
        </w:rPr>
        <w:t>更新日期：2026-06-03；重点修正限购、限售、公积金、税费和市场判断</w:t>
      </w:r>
    </w:p>
    <w:p/>
    <w:p>
      <w:pPr>
        <w:spacing w:after="80" w:line="276" w:lineRule="auto"/>
      </w:pPr>
      <w:r>
        <w:rPr>
          <w:rFonts w:ascii="Microsoft YaHei" w:hAnsi="Microsoft YaHei" w:eastAsia="Microsoft YaHei"/>
          <w:b/>
          <w:sz w:val="21"/>
        </w:rPr>
        <w:t>本文件将原“全域政策及补贴大全”中已过时或互相冲突的基础政策改为联网可核验口径。区县补贴更新频率高，特别是消费券、限时补助、指定楼盘补贴，必须在网签前向项目属地住建局或开发企业书面核验。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一、全域基础政策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0"/>
        <w:gridCol w:w="4960"/>
      </w:tblGrid>
      <w:tr>
        <w:tc>
          <w:tcPr>
            <w:tcW w:type="dxa" w:w="496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主题</w:t>
            </w:r>
          </w:p>
        </w:tc>
        <w:tc>
          <w:tcPr>
            <w:tcW w:type="dxa" w:w="4960"/>
            <w:shd w:fill="1F4E79"/>
          </w:tcPr>
          <w:p>
            <w:r>
              <w:rPr>
                <w:rFonts w:ascii="Microsoft YaHei" w:hAnsi="Microsoft YaHei" w:eastAsia="Microsoft YaHei"/>
                <w:b/>
                <w:color w:val="FFFFFF"/>
                <w:sz w:val="19"/>
              </w:rPr>
              <w:t>最新校正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限购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杭州全市范围购房不再审核购房资格；原“四区保留限购”口径删除。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新房摇号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登记家庭数小于或等于房源数的项目取消公证摇号，由开发企业自主销售；超过房源数的仍按规则公证摇号。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限售/限价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2024年10月9日后出让住宅用地不再设置新房限价；报名人数大于准售房源数仍摇号，但不再社保排序和限售。此前地块按原合同/公告执行。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商贷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最低首付不低于15%；利率随LPR和银行加点/减点变化，不再写死为3.05%。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公积金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2026年4月1日起，杭州公积金最高贷款额度提高至180万元，个人最高90万元，可贷倍数20倍。</w:t>
            </w:r>
          </w:p>
        </w:tc>
      </w:tr>
      <w:tr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税费</w:t>
            </w:r>
          </w:p>
        </w:tc>
        <w:tc>
          <w:tcPr>
            <w:tcW w:type="dxa" w:w="4960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sz w:val="18"/>
              </w:rPr>
              <w:t>契税按140㎡分档；2026年1月1日起个人销售未满2年住房增值税征收率为3%，满2年免征。</w:t>
            </w:r>
          </w:p>
        </w:tc>
      </w:tr>
    </w:tbl>
    <w:p/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二、补贴信息处理原则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市级人才、公租房、各区县购房消费券和房票安置政策仍保留为线索，但不再作为“确定可享受金额”直接引用。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桐庐、淳安、建德、钱塘、萧山、临平、富阳、临安等区县补贴多为限时、限额、指定项目或先到先得，申请前需核验有效期、楼盘清单、资金池余额、是否可叠加。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同一房产通常不能重复享受同类型补贴；已享受补贴后退房，一般需退回现金或注销/退回消费券。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若补贴要求“新建商品住宅”，商业、办公、公寓类非住宅通常不适用；二手房是否适用应逐条核验。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三、2026年市场判断补充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公开报道显示，杭州2026年4月市区二手房成交9968套，环比上涨6.5%、同比上涨5.8%；5月全市二手房网签9087套，同比大涨近18%。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成交回暖主要体现为结构性活跃：核心改善、优质学区/次新、总价适配刚需的产品更容易成交，远郊、老旧、无明确配套兑现的房源仍需重视流动性风险。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2"/>
        </w:rPr>
        <w:t>四、已修正的原资料风险点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删除“上城、拱墅、西湖、滨江四区仍限购”的口径。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删除“热点盘统一限售5年、普通盘统一限售3年、法拍房统一限售5年”的通用结论，改为按地块出让时间和项目规则核验。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将公积金最高额度从130万元更新为180万元。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将商业贷款利率从固定值改为“参考LPR+银行实际加减点”。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将个人销售未满2年住房增值税主税率更新为3%。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4E79"/>
          <w:sz w:val="26"/>
        </w:rPr>
        <w:t>来源清单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杭州全面取消住房限购：新华社/新华网，2024-05-09。https://www.news.cn/20240509/b39dc5497d0e45ebbd9dbcbd762afba5/c.html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杭州2024年10月楼市新政解读：浙江在线转杭州市住保房管局解读，2024-10-10。https://zjnews.zjol.com.cn/zjnews/202410/t20241010_30571193.shtml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商业性个人住房贷款最低首付比例：中国人民银行、国家金融监督管理总局，2024-09-24。https://www.pbc.gov.cn/goutongjiaoliu/113456/113469/2025092212554216285/index.html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杭州住房公积金使用政策：杭州市人民政府公报，2026-03-30。https://zfgb.hangzhou.gov.cn/11/103220263/t130220263034/530322.shtml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个人购房契税政策：国家税务总局热点问答，2024-12-13。https://shanxi.chinatax.gov.cn/web/detail/sx-11400-548-1802372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个人销售住房增值税政策：财政部、税务总局公告2025年第17号，2025-12-29。https://guizhou.chinatax.gov.cn/wjjb/zcfgk/szfl/zzs/202512/t20251231_89105624.html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2026年5月LPR：中新网据央行网站，2026-05-20。https://www.chinanews.com.cn/cj/2026/05-20/10624697.shtml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2026年5月杭州二手房成交：第一财经，2026-06-02。https://www.yicai.com/news/103211762.html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1"/>
        </w:rPr>
        <w:t>2026年4月杭州二手房成交：杭州网房产频道，2026-05-30。https://house.hangzhou.com.cn/content/2026-05/30/content_9231466.html</w:t>
      </w:r>
    </w:p>
    <w:sectPr w:rsidR="00FC693F" w:rsidRPr="0006063C" w:rsidSect="00034616">
      <w:pgSz w:w="12240" w:h="15840"/>
      <w:pgMar w:top="1080" w:right="1160" w:bottom="1080" w:left="116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