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8375E">
      <w:pPr>
        <w:pStyle w:val="2"/>
        <w:keepNext w:val="0"/>
        <w:keepLines w:val="0"/>
        <w:widowControl/>
        <w:suppressLineNumbers w:val="0"/>
      </w:pPr>
      <w:r>
        <w:t>2026年杭州市拱墅区整体发展布局</w:t>
      </w:r>
      <w:bookmarkStart w:id="0" w:name="_GoBack"/>
      <w:bookmarkEnd w:id="0"/>
    </w:p>
    <w:p w14:paraId="72EC1A14">
      <w:pPr>
        <w:keepNext w:val="0"/>
        <w:keepLines w:val="0"/>
        <w:widowControl/>
        <w:suppressLineNumbers w:val="0"/>
        <w:jc w:val="left"/>
      </w:pPr>
      <w:r>
        <w:rPr>
          <w:rFonts w:ascii="宋体" w:hAnsi="宋体" w:eastAsia="宋体" w:cs="宋体"/>
          <w:kern w:val="0"/>
          <w:sz w:val="24"/>
          <w:szCs w:val="24"/>
          <w:lang w:val="en-US" w:eastAsia="zh-CN" w:bidi="ar"/>
        </w:rPr>
        <w:t>2026年作为拱墅区“十五五”规划开局之年，也是拱墅运河文化活化、数字转型深化之年、“时尚之都、数字新城、运河明珠”建设攻坚之年，立足杭州“一核九星”“一主六辅三城”空间布局定位（拱墅为“一核”重要组成部分、主城核心区），紧扣杭州市委赋予的“运河铸魂、商贸兴区、数字赋能、开放示范”核心职责，以“高质量发展”为核心，以“高水平打造时尚之都、数字新城、运河明珠”为目标，以人工智能“中国算谷”建设为首要任务，构建“平台引领、产业聚能、全域协同、民生提质”的整体发展布局，全面融入杭州世界一流大都市建设，具体围绕以下五大维度展开，所有内容均参考2026年拱墅区委一届九次全体（扩大）会议、杭州市政府工作报告及拱墅区官方规划文件、产业发展资料。</w:t>
      </w:r>
    </w:p>
    <w:p w14:paraId="5B25756C">
      <w:pPr>
        <w:keepNext w:val="0"/>
        <w:keepLines w:val="0"/>
        <w:widowControl/>
        <w:suppressLineNumbers w:val="0"/>
        <w:jc w:val="left"/>
      </w:pPr>
      <w:r>
        <w:rPr>
          <w:rFonts w:ascii="宋体" w:hAnsi="宋体" w:eastAsia="宋体" w:cs="宋体"/>
          <w:kern w:val="0"/>
          <w:sz w:val="24"/>
          <w:szCs w:val="24"/>
          <w:lang w:val="en-US" w:eastAsia="zh-CN" w:bidi="ar"/>
        </w:rPr>
        <w:t>一、核心定位（锚定发展方向）</w:t>
      </w:r>
    </w:p>
    <w:p w14:paraId="15A04B4B">
      <w:pPr>
        <w:keepNext w:val="0"/>
        <w:keepLines w:val="0"/>
        <w:widowControl/>
        <w:suppressLineNumbers w:val="0"/>
        <w:jc w:val="left"/>
      </w:pPr>
      <w:r>
        <w:rPr>
          <w:rFonts w:ascii="宋体" w:hAnsi="宋体" w:eastAsia="宋体" w:cs="宋体"/>
          <w:kern w:val="0"/>
          <w:sz w:val="24"/>
          <w:szCs w:val="24"/>
          <w:lang w:val="en-US" w:eastAsia="zh-CN" w:bidi="ar"/>
        </w:rPr>
        <w:t>2026年拱墅区核心发展定位：杭州大都市核心商贸区、大运河文化传承核心区，人工智能“中国算谷”核心承载地、城西科创大走廊与城东智造大走廊“两廊联进”中心枢纽，数字经济与现代商贸深度融合典范、长三角G60科创走廊重要节点，产城文深度融合示范区、现代化国际化宜居新城，同时聚焦“运河铸魂、创新驱动、商贸兴区、共同富裕”，紧扣“文化立区、商贸强区、数字兴区、生态优区”发展战略，推动经济社会发展提质增效，力争实现地区生产总值增长6%以上、规上工业增加值增长8%以上，全社会研发经费投入强度持续提升，社会消费品零售总额保持全省第一，人工智能核心产业营收突破800亿元，全力打造“运河璀璨、商贸繁荣、数字领先、民生幸福”的现代化新拱墅，筑牢杭州主城商贸与文化发展核心支撑，为杭州打造人工智能创新发展第一城、建设世界一流的社会主义现代化国际大都市贡献拱墅力量。</w:t>
      </w:r>
    </w:p>
    <w:p w14:paraId="1CDD6CCB">
      <w:pPr>
        <w:keepNext w:val="0"/>
        <w:keepLines w:val="0"/>
        <w:widowControl/>
        <w:suppressLineNumbers w:val="0"/>
        <w:jc w:val="left"/>
      </w:pPr>
      <w:r>
        <w:rPr>
          <w:rFonts w:ascii="宋体" w:hAnsi="宋体" w:eastAsia="宋体" w:cs="宋体"/>
          <w:kern w:val="0"/>
          <w:sz w:val="24"/>
          <w:szCs w:val="24"/>
          <w:lang w:val="en-US" w:eastAsia="zh-CN" w:bidi="ar"/>
        </w:rPr>
        <w:t>二、空间布局（四大平台引领，全域协同发力）</w:t>
      </w:r>
    </w:p>
    <w:p w14:paraId="771D5F7B">
      <w:pPr>
        <w:keepNext w:val="0"/>
        <w:keepLines w:val="0"/>
        <w:widowControl/>
        <w:suppressLineNumbers w:val="0"/>
        <w:jc w:val="left"/>
      </w:pPr>
      <w:r>
        <w:rPr>
          <w:rFonts w:ascii="宋体" w:hAnsi="宋体" w:eastAsia="宋体" w:cs="宋体"/>
          <w:kern w:val="0"/>
          <w:sz w:val="24"/>
          <w:szCs w:val="24"/>
          <w:lang w:val="en-US" w:eastAsia="zh-CN" w:bidi="ar"/>
        </w:rPr>
        <w:t>立足“多平台联动、产城文深度融合、商贸与科创共生”原则，以四大核心平台为支撑，深化“一轴一核两翼六融合”发展格局，推动空间资源优化配置，充分发挥“主城辐射、运河联结、两廊联动”核心作用，推进全域协同发展，形成“核心引领、多点支撑、全域协同”的空间发展格局。</w:t>
      </w:r>
    </w:p>
    <w:p w14:paraId="5B119D87">
      <w:pPr>
        <w:keepNext w:val="0"/>
        <w:keepLines w:val="0"/>
        <w:widowControl/>
        <w:suppressLineNumbers w:val="0"/>
        <w:jc w:val="left"/>
      </w:pPr>
      <w:r>
        <w:rPr>
          <w:rFonts w:ascii="宋体" w:hAnsi="宋体" w:eastAsia="宋体" w:cs="宋体"/>
          <w:kern w:val="0"/>
          <w:sz w:val="24"/>
          <w:szCs w:val="24"/>
          <w:lang w:val="en-US" w:eastAsia="zh-CN" w:bidi="ar"/>
        </w:rPr>
        <w:t>1. 四大核心平台（发展主阵地、主引擎）</w:t>
      </w:r>
    </w:p>
    <w:p w14:paraId="3B91302C">
      <w:pPr>
        <w:keepNext w:val="0"/>
        <w:keepLines w:val="0"/>
        <w:widowControl/>
        <w:suppressLineNumbers w:val="0"/>
        <w:jc w:val="left"/>
      </w:pPr>
      <w:r>
        <w:rPr>
          <w:rFonts w:ascii="宋体" w:hAnsi="宋体" w:eastAsia="宋体" w:cs="宋体"/>
          <w:kern w:val="0"/>
          <w:sz w:val="24"/>
          <w:szCs w:val="24"/>
          <w:lang w:val="en-US" w:eastAsia="zh-CN" w:bidi="ar"/>
        </w:rPr>
        <w:t>（1）大运河数智未来城（省级高新区）：锚定“省级高新区提质升级”目标，重点围绕省“415X”、市“296X”先进制造业集群建设，聚焦人工智能、数字经济、生命健康等核心产业，依托“浙江云”“杭钢云”等超大算力中心及顺丰、奇虎360等领军企业，完善数字经济全产业链布局，推动规上工业增加值稳步增长，2026年持续做强人工智能“中国算谷”核心承载能力，推动数字经济产业生态圈持续壮大，落地更多亿元以上优质科创产业项目，打造环高能级平台创新生态圈和全链条创新生态，同时深化教科人一体改革，推动产学研协同，助力国家文化AI中试基地、杭钢信息技术应用创新基地等重点项目落地见效，联动全区各平台实现科创与产业协同发展。</w:t>
      </w:r>
    </w:p>
    <w:p w14:paraId="6F5D8350">
      <w:pPr>
        <w:keepNext w:val="0"/>
        <w:keepLines w:val="0"/>
        <w:widowControl/>
        <w:suppressLineNumbers w:val="0"/>
        <w:jc w:val="left"/>
      </w:pPr>
      <w:r>
        <w:rPr>
          <w:rFonts w:ascii="宋体" w:hAnsi="宋体" w:eastAsia="宋体" w:cs="宋体"/>
          <w:kern w:val="0"/>
          <w:sz w:val="24"/>
          <w:szCs w:val="24"/>
          <w:lang w:val="en-US" w:eastAsia="zh-CN" w:bidi="ar"/>
        </w:rPr>
        <w:t>（2）武林商圈（含大武林、大运河、大和平、新天地四大商圈）：立足“世界级地标商圈群、全省商贸第一区”定位，深度融入杭州主城商贸高质量发展，重点发展现代商贸、高端金融、总部经济、新消费等产业，依托武林广场、武林路步行街、中国杭州丝绸城等载体，大力发展首店经济、夜经济、潮经济，完善商业配套、高端商务、人才服务等设施，打造青年友好型消费新城和现代商贸高地，彰显拱墅“钱塘自古繁华”的独特魅力，持续巩固社会消费品零售总额全省第一的优势。</w:t>
      </w:r>
    </w:p>
    <w:p w14:paraId="68D52C83">
      <w:pPr>
        <w:keepNext w:val="0"/>
        <w:keepLines w:val="0"/>
        <w:widowControl/>
        <w:suppressLineNumbers w:val="0"/>
        <w:jc w:val="left"/>
      </w:pPr>
      <w:r>
        <w:rPr>
          <w:rFonts w:ascii="宋体" w:hAnsi="宋体" w:eastAsia="宋体" w:cs="宋体"/>
          <w:kern w:val="0"/>
          <w:sz w:val="24"/>
          <w:szCs w:val="24"/>
          <w:lang w:val="en-US" w:eastAsia="zh-CN" w:bidi="ar"/>
        </w:rPr>
        <w:t>（3）大运河文化旅游度假区：锚定“大运河文化传承标杆、文商旅融合示范”目标，聚焦运河文化保护传承利用，深化“文化+旅游+商贸+研学”布局，保护京杭大运河拱墅段生态与文化资源，挖掘运河文化历史内涵，联动桥西、大兜路、小河直街等特色风貌街区，完善文旅配套设施，推进文化“新三样”出海，打造高品质运河文化文旅目的地和长三角文商旅融合标杆，推动运河文化标识更加鲜明璀璨。</w:t>
      </w:r>
    </w:p>
    <w:p w14:paraId="5565D3FA">
      <w:pPr>
        <w:keepNext w:val="0"/>
        <w:keepLines w:val="0"/>
        <w:widowControl/>
        <w:suppressLineNumbers w:val="0"/>
        <w:jc w:val="left"/>
      </w:pPr>
      <w:r>
        <w:rPr>
          <w:rFonts w:ascii="宋体" w:hAnsi="宋体" w:eastAsia="宋体" w:cs="宋体"/>
          <w:kern w:val="0"/>
          <w:sz w:val="24"/>
          <w:szCs w:val="24"/>
          <w:lang w:val="en-US" w:eastAsia="zh-CN" w:bidi="ar"/>
        </w:rPr>
        <w:t>（4）电竞数娱产业园（含杭州电竞中心）：立足“亚运遗产转化标杆、全国电竞产业核心区”定位，重点发展电竞文娱、数字内容、动漫游戏等产业，依托杭州电竞中心及腾讯、网易、完美世界等国内电竞头部企业，完善电竞全产业链布局，推动电竞产业与数字经济、文旅产业深度融合，承办各类国际级电竞赛事、数字内容展会，完善电竞孵化、人才培养、商业休闲等配套设施，打造全国一流的电竞产业集聚新高地和数字内容产业基地。</w:t>
      </w:r>
    </w:p>
    <w:p w14:paraId="5EFE6174">
      <w:pPr>
        <w:keepNext w:val="0"/>
        <w:keepLines w:val="0"/>
        <w:widowControl/>
        <w:suppressLineNumbers w:val="0"/>
        <w:jc w:val="left"/>
      </w:pPr>
      <w:r>
        <w:rPr>
          <w:rFonts w:ascii="宋体" w:hAnsi="宋体" w:eastAsia="宋体" w:cs="宋体"/>
          <w:kern w:val="0"/>
          <w:sz w:val="24"/>
          <w:szCs w:val="24"/>
          <w:lang w:val="en-US" w:eastAsia="zh-CN" w:bidi="ar"/>
        </w:rPr>
        <w:t>2. 全域协同布局</w:t>
      </w:r>
    </w:p>
    <w:p w14:paraId="1F0D5A45">
      <w:pPr>
        <w:keepNext w:val="0"/>
        <w:keepLines w:val="0"/>
        <w:widowControl/>
        <w:suppressLineNumbers w:val="0"/>
        <w:jc w:val="left"/>
      </w:pPr>
      <w:r>
        <w:rPr>
          <w:rFonts w:ascii="宋体" w:hAnsi="宋体" w:eastAsia="宋体" w:cs="宋体"/>
          <w:kern w:val="0"/>
          <w:sz w:val="24"/>
          <w:szCs w:val="24"/>
          <w:lang w:val="en-US" w:eastAsia="zh-CN" w:bidi="ar"/>
        </w:rPr>
        <w:t>（1）城区提升：优化武林、米市巷、朝晖等核心城区功能，推进城市精细化管理，完善商业、教育、医疗等高端配套，推进老旧片区有机更新，打造高品质宜居宜业城区，拓展商贸与科创产业发展空间，推动城市功能与杭州主城无缝衔接，新增人口集聚能力持续增强，彰显主城核心区气质。</w:t>
      </w:r>
    </w:p>
    <w:p w14:paraId="0164A432">
      <w:pPr>
        <w:keepNext w:val="0"/>
        <w:keepLines w:val="0"/>
        <w:widowControl/>
        <w:suppressLineNumbers w:val="0"/>
        <w:jc w:val="left"/>
      </w:pPr>
      <w:r>
        <w:rPr>
          <w:rFonts w:ascii="宋体" w:hAnsi="宋体" w:eastAsia="宋体" w:cs="宋体"/>
          <w:kern w:val="0"/>
          <w:sz w:val="24"/>
          <w:szCs w:val="24"/>
          <w:lang w:val="en-US" w:eastAsia="zh-CN" w:bidi="ar"/>
        </w:rPr>
        <w:t>（2）街道赋能：强化各街道产业承载能力，聚焦特色商贸、数字文创、运河文旅等细分领域，承接核心平台功能外溢，完善街道级科创孵化、民生服务、商务社区等配套设施，推动城乡基础设施、公共服务一体化；深入实施“千万工程”，推进和美社区提质扩面，挖掘街道特色生态、运河文化资源，探索科创赋能、文旅赋能富民增收新模式，促进人口、产业向城镇集聚，助力共同富裕。</w:t>
      </w:r>
    </w:p>
    <w:p w14:paraId="1EDF6B49">
      <w:pPr>
        <w:keepNext w:val="0"/>
        <w:keepLines w:val="0"/>
        <w:widowControl/>
        <w:suppressLineNumbers w:val="0"/>
        <w:jc w:val="left"/>
      </w:pPr>
      <w:r>
        <w:rPr>
          <w:rFonts w:ascii="宋体" w:hAnsi="宋体" w:eastAsia="宋体" w:cs="宋体"/>
          <w:kern w:val="0"/>
          <w:sz w:val="24"/>
          <w:szCs w:val="24"/>
          <w:lang w:val="en-US" w:eastAsia="zh-CN" w:bidi="ar"/>
        </w:rPr>
        <w:t>（3）交通联动：深度融入杭州“双网融合”交通体系，加快推进区域快速路网、轨道交通配套延伸，强化与杭州核心城区、西湖区、上城区、余杭区的通勤衔接，打通运河两岸交通壁垒，完善园区与城区、各平台之间的交通路网，提升交通便捷度，助力科创资源、人才资源、消费资源高效流通，服务长三角一体化发展。</w:t>
      </w:r>
    </w:p>
    <w:p w14:paraId="2D8BE7A0">
      <w:pPr>
        <w:keepNext w:val="0"/>
        <w:keepLines w:val="0"/>
        <w:widowControl/>
        <w:suppressLineNumbers w:val="0"/>
        <w:jc w:val="left"/>
      </w:pPr>
      <w:r>
        <w:rPr>
          <w:rFonts w:ascii="宋体" w:hAnsi="宋体" w:eastAsia="宋体" w:cs="宋体"/>
          <w:kern w:val="0"/>
          <w:sz w:val="24"/>
          <w:szCs w:val="24"/>
          <w:lang w:val="en-US" w:eastAsia="zh-CN" w:bidi="ar"/>
        </w:rPr>
        <w:t>三、产业布局（创新驱动，构建现代化产业体系）</w:t>
      </w:r>
    </w:p>
    <w:p w14:paraId="405953A4">
      <w:pPr>
        <w:keepNext w:val="0"/>
        <w:keepLines w:val="0"/>
        <w:widowControl/>
        <w:suppressLineNumbers w:val="0"/>
        <w:jc w:val="left"/>
      </w:pPr>
      <w:r>
        <w:rPr>
          <w:rFonts w:ascii="宋体" w:hAnsi="宋体" w:eastAsia="宋体" w:cs="宋体"/>
          <w:kern w:val="0"/>
          <w:sz w:val="24"/>
          <w:szCs w:val="24"/>
          <w:lang w:val="en-US" w:eastAsia="zh-CN" w:bidi="ar"/>
        </w:rPr>
        <w:t>2026年拱墅区以“产业质效提升、产业集群提质、数实深度融合”为核心，紧扣杭州打造人工智能创新发展第一城的部署要求，抢抓人工智能、新质生产力发展机遇，构建“数字引领、商贸筑基、文旅赋能、新兴突破”的产业布局，重点推进五大产业发力，全力承接省“415X”、市“296X”先进制造业集群建设，深化“115X”先进制造业集群布局（以人工智能&lt;集成电路&gt;产业集群为核心的千亿级数字经济产业创新发展区，以生物医药、医疗器械&lt;合成生物&gt;产业集群为支柱的千亿级生命健康产业发展新高地），为产业发展保驾护航。</w:t>
      </w:r>
    </w:p>
    <w:p w14:paraId="3295663C">
      <w:pPr>
        <w:keepNext w:val="0"/>
        <w:keepLines w:val="0"/>
        <w:widowControl/>
        <w:suppressLineNumbers w:val="0"/>
        <w:jc w:val="left"/>
      </w:pPr>
      <w:r>
        <w:rPr>
          <w:rFonts w:ascii="宋体" w:hAnsi="宋体" w:eastAsia="宋体" w:cs="宋体"/>
          <w:kern w:val="0"/>
          <w:sz w:val="24"/>
          <w:szCs w:val="24"/>
          <w:lang w:val="en-US" w:eastAsia="zh-CN" w:bidi="ar"/>
        </w:rPr>
        <w:t>1. 核心产业：人工智能与数字经济（抢抓产业风口）</w:t>
      </w:r>
    </w:p>
    <w:p w14:paraId="64E5BBE8">
      <w:pPr>
        <w:keepNext w:val="0"/>
        <w:keepLines w:val="0"/>
        <w:widowControl/>
        <w:suppressLineNumbers w:val="0"/>
        <w:jc w:val="left"/>
      </w:pPr>
      <w:r>
        <w:rPr>
          <w:rFonts w:ascii="宋体" w:hAnsi="宋体" w:eastAsia="宋体" w:cs="宋体"/>
          <w:kern w:val="0"/>
          <w:sz w:val="24"/>
          <w:szCs w:val="24"/>
          <w:lang w:val="en-US" w:eastAsia="zh-CN" w:bidi="ar"/>
        </w:rPr>
        <w:t>以大运河数智未来城为核心载体，聚焦人工智能、数字经济两大引领性产业，紧扣杭州建设“人工智能创新发展第一城”目标，以人工智能“中国算谷”建设为牵引，推动人工智能技术与现代商贸、生命健康、运河文旅等产业深度融合，落地一批AI赋能商贸、AI+文旅、AI+医疗试点项目；加快“浙江云”“杭钢云”等算力中心提质增效，推进国家文化AI中试基地建设，支持垂类模型示范应用，大力推动算力应用、智能终端研发等领域突破，培育一批AI相关创新企业，力争2026年人工智能核心产业营收突破800亿元，成为杭州打造人工智能创新发展第一城的重要支撑。</w:t>
      </w:r>
    </w:p>
    <w:p w14:paraId="3066C311">
      <w:pPr>
        <w:keepNext w:val="0"/>
        <w:keepLines w:val="0"/>
        <w:widowControl/>
        <w:suppressLineNumbers w:val="0"/>
        <w:jc w:val="left"/>
      </w:pPr>
      <w:r>
        <w:rPr>
          <w:rFonts w:ascii="宋体" w:hAnsi="宋体" w:eastAsia="宋体" w:cs="宋体"/>
          <w:kern w:val="0"/>
          <w:sz w:val="24"/>
          <w:szCs w:val="24"/>
          <w:lang w:val="en-US" w:eastAsia="zh-CN" w:bidi="ar"/>
        </w:rPr>
        <w:t>2. 重点产业：现代商贸与金融（筑牢产业根基）</w:t>
      </w:r>
    </w:p>
    <w:p w14:paraId="4A2299EC">
      <w:pPr>
        <w:keepNext w:val="0"/>
        <w:keepLines w:val="0"/>
        <w:widowControl/>
        <w:suppressLineNumbers w:val="0"/>
        <w:jc w:val="left"/>
      </w:pPr>
      <w:r>
        <w:rPr>
          <w:rFonts w:ascii="宋体" w:hAnsi="宋体" w:eastAsia="宋体" w:cs="宋体"/>
          <w:kern w:val="0"/>
          <w:sz w:val="24"/>
          <w:szCs w:val="24"/>
          <w:lang w:val="en-US" w:eastAsia="zh-CN" w:bidi="ar"/>
        </w:rPr>
        <w:t>聚焦“全省商贸第一区、现代商贸新高地”目标，全量承接杭州现代商贸产业集群建设，大力培育现代商贸、高端金融两大核心产业集群，2026年确保社会消费品零售总额保持全省第一，高端金融产业规模稳步提升；重点发展现代商贸产业，依托武林商圈等四大商圈，联动提升特色风貌街区，大力发展首店经济、夜经济、青春经济，打造世界级地标商圈群；深化金融产业提质，依托运河财富小镇、武林金融集聚区等平台，大力发展科技金融、消费金融、养老金融、普惠金融，集聚省级以上金融机构总部，巩固“全省商贸金融第一区”优势；深化“腾笼换鸟”攻坚行动，推进老旧商圈、工业园区有机更新，提升产业平台承载能力，推动商贸产业向高端化、数字化、品质化转型。</w:t>
      </w:r>
    </w:p>
    <w:p w14:paraId="31B503C1">
      <w:pPr>
        <w:keepNext w:val="0"/>
        <w:keepLines w:val="0"/>
        <w:widowControl/>
        <w:suppressLineNumbers w:val="0"/>
        <w:jc w:val="left"/>
      </w:pPr>
      <w:r>
        <w:rPr>
          <w:rFonts w:ascii="宋体" w:hAnsi="宋体" w:eastAsia="宋体" w:cs="宋体"/>
          <w:kern w:val="0"/>
          <w:sz w:val="24"/>
          <w:szCs w:val="24"/>
          <w:lang w:val="en-US" w:eastAsia="zh-CN" w:bidi="ar"/>
        </w:rPr>
        <w:t>3. 支撑产业：文商旅与电竞文娱（提质增效）</w:t>
      </w:r>
    </w:p>
    <w:p w14:paraId="39CD9986">
      <w:pPr>
        <w:keepNext w:val="0"/>
        <w:keepLines w:val="0"/>
        <w:widowControl/>
        <w:suppressLineNumbers w:val="0"/>
        <w:jc w:val="left"/>
      </w:pPr>
      <w:r>
        <w:rPr>
          <w:rFonts w:ascii="宋体" w:hAnsi="宋体" w:eastAsia="宋体" w:cs="宋体"/>
          <w:kern w:val="0"/>
          <w:sz w:val="24"/>
          <w:szCs w:val="24"/>
          <w:lang w:val="en-US" w:eastAsia="zh-CN" w:bidi="ar"/>
        </w:rPr>
        <w:t>重点发展运河文旅、电竞文娱、数字内容、商务服务等服务业，深化文商旅体融合发展，推动运河文化遗产活化利用，串珠成链打造运河文旅精品线路，提升运河文旅品牌影响力；依托杭州电竞中心，做强电竞产业生态，引进培育电竞企业、赛事运营机构，打造“食、宿、游、玩”一体的电竞产业集聚新高地；同时激活消费活力，实施提振消费专项行动，优化高端商圈布局，挖掘文旅、餐饮、康养、电竞消费等潜力，拓展悦己消费、数字消费等新增长点，推动社会消费品零售总额稳步增长，助力消费提质升级。</w:t>
      </w:r>
    </w:p>
    <w:p w14:paraId="0618C2ED">
      <w:pPr>
        <w:keepNext w:val="0"/>
        <w:keepLines w:val="0"/>
        <w:widowControl/>
        <w:suppressLineNumbers w:val="0"/>
        <w:jc w:val="left"/>
      </w:pPr>
      <w:r>
        <w:rPr>
          <w:rFonts w:ascii="宋体" w:hAnsi="宋体" w:eastAsia="宋体" w:cs="宋体"/>
          <w:kern w:val="0"/>
          <w:sz w:val="24"/>
          <w:szCs w:val="24"/>
          <w:lang w:val="en-US" w:eastAsia="zh-CN" w:bidi="ar"/>
        </w:rPr>
        <w:t>4. 新兴产业：新质生产力培育（抢占发展赛道）</w:t>
      </w:r>
    </w:p>
    <w:p w14:paraId="63D9575C">
      <w:pPr>
        <w:keepNext w:val="0"/>
        <w:keepLines w:val="0"/>
        <w:widowControl/>
        <w:suppressLineNumbers w:val="0"/>
        <w:jc w:val="left"/>
      </w:pPr>
      <w:r>
        <w:rPr>
          <w:rFonts w:ascii="宋体" w:hAnsi="宋体" w:eastAsia="宋体" w:cs="宋体"/>
          <w:kern w:val="0"/>
          <w:sz w:val="24"/>
          <w:szCs w:val="24"/>
          <w:lang w:val="en-US" w:eastAsia="zh-CN" w:bidi="ar"/>
        </w:rPr>
        <w:t>抢滩“6+X”未来产业集群，积极布局低空经济、合成生物、医美产业、新型储能等新赛道，依托高能级科研平台，推动前沿技术研发和成果转化；重点推进生命健康、医美产业等百亿级新质生产力项目落地见效，培育一批“硬科技”企业，推动高端芯片、人工智能、合成生物等技术产业化，深化与香港理工大学杭州技术创新研究院等高校科研院所的产学研合作，聚焦关键核心技术突破和高端人才培养，拓宽基金支持路径，助力新兴产业快速成长，打造新质生产力培育先行区，打响“美丽经济第一区”品牌。</w:t>
      </w:r>
    </w:p>
    <w:p w14:paraId="3CD3C267">
      <w:pPr>
        <w:keepNext w:val="0"/>
        <w:keepLines w:val="0"/>
        <w:widowControl/>
        <w:suppressLineNumbers w:val="0"/>
        <w:jc w:val="left"/>
      </w:pPr>
      <w:r>
        <w:rPr>
          <w:rFonts w:ascii="宋体" w:hAnsi="宋体" w:eastAsia="宋体" w:cs="宋体"/>
          <w:kern w:val="0"/>
          <w:sz w:val="24"/>
          <w:szCs w:val="24"/>
          <w:lang w:val="en-US" w:eastAsia="zh-CN" w:bidi="ar"/>
        </w:rPr>
        <w:t>5. 创新赋能体系（强化动力支撑）</w:t>
      </w:r>
    </w:p>
    <w:p w14:paraId="09CB97FC">
      <w:pPr>
        <w:keepNext w:val="0"/>
        <w:keepLines w:val="0"/>
        <w:widowControl/>
        <w:suppressLineNumbers w:val="0"/>
        <w:jc w:val="left"/>
      </w:pPr>
      <w:r>
        <w:rPr>
          <w:rFonts w:ascii="宋体" w:hAnsi="宋体" w:eastAsia="宋体" w:cs="宋体"/>
          <w:kern w:val="0"/>
          <w:sz w:val="24"/>
          <w:szCs w:val="24"/>
          <w:lang w:val="en-US" w:eastAsia="zh-CN" w:bidi="ar"/>
        </w:rPr>
        <w:t>深化“两新”融合，落地国家文化AI中试基地、杭钢信息技术应用创新基地、香港理工大学杭州技术创新研究院等高能级科研平台，持续建强环科创平台创新生态圈，深化平台分层分类管理的“自我造血式”发展，分类推动“揭榜挂帅”扩面到中小企业，推进全链条全周期成果转化集成改革，提升以面向产业、应用为先的自主创新策源能力；深化教科人一体改革，推行“高校+平台+企业+产业链”结对合作模式，实施高层次人才引育计划，引育科技型企业家和高端科创人才，2026年新增国高企75家、省科小170家、市级以上企业研发机构32家以上；完善企业研发激励政策，优化升级惠企政策体系，深化惠企政策“免申即享”“即申即享”，依托全省首创的商务社区模式，覆盖楼宇企业，大力实施尖兵、领雁项目，引导科技型中小企业加大创新投入，提升企业创新主体地位。</w:t>
      </w:r>
    </w:p>
    <w:p w14:paraId="019B6D0D">
      <w:pPr>
        <w:keepNext w:val="0"/>
        <w:keepLines w:val="0"/>
        <w:widowControl/>
        <w:suppressLineNumbers w:val="0"/>
        <w:jc w:val="left"/>
      </w:pPr>
      <w:r>
        <w:rPr>
          <w:rFonts w:ascii="宋体" w:hAnsi="宋体" w:eastAsia="宋体" w:cs="宋体"/>
          <w:kern w:val="0"/>
          <w:sz w:val="24"/>
          <w:szCs w:val="24"/>
          <w:lang w:val="en-US" w:eastAsia="zh-CN" w:bidi="ar"/>
        </w:rPr>
        <w:t>四、协同发展与民生提质（完善保障，推动共同富裕）</w:t>
      </w:r>
    </w:p>
    <w:p w14:paraId="04E2AC86">
      <w:pPr>
        <w:keepNext w:val="0"/>
        <w:keepLines w:val="0"/>
        <w:widowControl/>
        <w:suppressLineNumbers w:val="0"/>
        <w:jc w:val="left"/>
      </w:pPr>
      <w:r>
        <w:rPr>
          <w:rFonts w:ascii="宋体" w:hAnsi="宋体" w:eastAsia="宋体" w:cs="宋体"/>
          <w:kern w:val="0"/>
          <w:sz w:val="24"/>
          <w:szCs w:val="24"/>
          <w:lang w:val="en-US" w:eastAsia="zh-CN" w:bidi="ar"/>
        </w:rPr>
        <w:t>1. 区域协同：主动融入多重发展战略</w:t>
      </w:r>
    </w:p>
    <w:p w14:paraId="4006F6BD">
      <w:pPr>
        <w:keepNext w:val="0"/>
        <w:keepLines w:val="0"/>
        <w:widowControl/>
        <w:suppressLineNumbers w:val="0"/>
        <w:jc w:val="left"/>
      </w:pPr>
      <w:r>
        <w:rPr>
          <w:rFonts w:ascii="宋体" w:hAnsi="宋体" w:eastAsia="宋体" w:cs="宋体"/>
          <w:kern w:val="0"/>
          <w:sz w:val="24"/>
          <w:szCs w:val="24"/>
          <w:lang w:val="en-US" w:eastAsia="zh-CN" w:bidi="ar"/>
        </w:rPr>
        <w:t>（1）融入杭州全域发展：紧扣杭州“一核九星”“一主六辅三城”布局，强化与杭州核心城区、西湖区、上城区、余杭区的功能衔接，深度融入城西科创大走廊与城东智造大走廊“两廊联进”发展，发挥科创辐射、商贸引领作用，承接高端科创与商贸资源集聚，推动科创成果、商贸业态向周边区域转化，全力做强“两廊联进”中心枢纽，助力杭州唱好杭甬“双城记”、融入长三角一体化发展。</w:t>
      </w:r>
    </w:p>
    <w:p w14:paraId="4DF84D8F">
      <w:pPr>
        <w:keepNext w:val="0"/>
        <w:keepLines w:val="0"/>
        <w:widowControl/>
        <w:suppressLineNumbers w:val="0"/>
        <w:jc w:val="left"/>
      </w:pPr>
      <w:r>
        <w:rPr>
          <w:rFonts w:ascii="宋体" w:hAnsi="宋体" w:eastAsia="宋体" w:cs="宋体"/>
          <w:kern w:val="0"/>
          <w:sz w:val="24"/>
          <w:szCs w:val="24"/>
          <w:lang w:val="en-US" w:eastAsia="zh-CN" w:bidi="ar"/>
        </w:rPr>
        <w:t>（2）深化跨区域合作：加强与长三角其他商贸科创城市、高新区的联动发展，发挥核心商贸区、科创节点辐射作用，共建科创合作平台、商贸合作载体，共享科创资源、人才资源、消费资源，吸引长三角优质科创企业、商贸企业、项目落地拱墅；依托大运河文化纽带，联动周边区域打造产业协同、科创共建、交通互联、文旅融合的发展格局，提升拱墅在长三角商贸圈、科创圈中的核心影响力。</w:t>
      </w:r>
    </w:p>
    <w:p w14:paraId="08BACCE7">
      <w:pPr>
        <w:keepNext w:val="0"/>
        <w:keepLines w:val="0"/>
        <w:widowControl/>
        <w:suppressLineNumbers w:val="0"/>
        <w:jc w:val="left"/>
      </w:pPr>
      <w:r>
        <w:rPr>
          <w:rFonts w:ascii="宋体" w:hAnsi="宋体" w:eastAsia="宋体" w:cs="宋体"/>
          <w:kern w:val="0"/>
          <w:sz w:val="24"/>
          <w:szCs w:val="24"/>
          <w:lang w:val="en-US" w:eastAsia="zh-CN" w:bidi="ar"/>
        </w:rPr>
        <w:t>2. 民生提质：补齐短板，打造宜居环境</w:t>
      </w:r>
    </w:p>
    <w:p w14:paraId="1B376CC0">
      <w:pPr>
        <w:keepNext w:val="0"/>
        <w:keepLines w:val="0"/>
        <w:widowControl/>
        <w:suppressLineNumbers w:val="0"/>
        <w:jc w:val="left"/>
      </w:pPr>
      <w:r>
        <w:rPr>
          <w:rFonts w:ascii="宋体" w:hAnsi="宋体" w:eastAsia="宋体" w:cs="宋体"/>
          <w:kern w:val="0"/>
          <w:sz w:val="24"/>
          <w:szCs w:val="24"/>
          <w:lang w:val="en-US" w:eastAsia="zh-CN" w:bidi="ar"/>
        </w:rPr>
        <w:t>（1）完善基础设施：推进交通路网优化、市政配套升级，完善“15分钟社区生活圈”，优化教育资源布局，依托文澜、育才、卖鱼桥等知名基础教育品牌，通过名校引领激活“智育未来”新动能，完善高端医疗配套设施，依托9家三甲医院，提升公共服务均等化水平，推进城市安全韧性工程建设，提升城市承载能力，努力拓展人工智能、低空经济、绿色能源新技术新产品的应用场景，让居民共享发展成果。</w:t>
      </w:r>
    </w:p>
    <w:p w14:paraId="6FFA4473">
      <w:pPr>
        <w:keepNext w:val="0"/>
        <w:keepLines w:val="0"/>
        <w:widowControl/>
        <w:suppressLineNumbers w:val="0"/>
        <w:jc w:val="left"/>
      </w:pPr>
      <w:r>
        <w:rPr>
          <w:rFonts w:ascii="宋体" w:hAnsi="宋体" w:eastAsia="宋体" w:cs="宋体"/>
          <w:kern w:val="0"/>
          <w:sz w:val="24"/>
          <w:szCs w:val="24"/>
          <w:lang w:val="en-US" w:eastAsia="zh-CN" w:bidi="ar"/>
        </w:rPr>
        <w:t>（2）优化营商环境：延续惠企政策框架，深化惠企政策“免申即享”“即申即享”，确保新增政策主动推送率100%；强化项目全生命周期管理，用好项目全生命周期管理机制，紧盯“千项万亿”等重大科创、商贸项目，力争亿元以上项目早落地、早投产、早见效，提升政策聚焦度和精准性，持续优化商务社区模式，巩固无感监测营商指数全省第一的优势，坚持“良好的创新生态、商贸生态是最好的营商环境”，持续优化创新创业、商贸发展生态。</w:t>
      </w:r>
    </w:p>
    <w:p w14:paraId="4C02D13A">
      <w:pPr>
        <w:keepNext w:val="0"/>
        <w:keepLines w:val="0"/>
        <w:widowControl/>
        <w:suppressLineNumbers w:val="0"/>
        <w:jc w:val="left"/>
      </w:pPr>
      <w:r>
        <w:rPr>
          <w:rFonts w:ascii="宋体" w:hAnsi="宋体" w:eastAsia="宋体" w:cs="宋体"/>
          <w:kern w:val="0"/>
          <w:sz w:val="24"/>
          <w:szCs w:val="24"/>
          <w:lang w:val="en-US" w:eastAsia="zh-CN" w:bidi="ar"/>
        </w:rPr>
        <w:t>（3）生态与民生并重：坚守生态底线，推进生态环境治理，深化全域“无废城市”建设，依托大运河岸线、半山国家森林公园等生态资源，打造“山水融城”的生态宜居环境，加快“两山”转化实践，推动生态优势转化为发展优势；推进城乡融合发展，以“千万工程”为牵引，深化文旅、城乡、数实“三个融合”，加快建设宜居社区、低碳商圈、零碳园区等，进一步推动产业与城市的双向开放、相互赋能，缩小城乡差距，深化大运河幸福家园建设，推动共同富裕取得实质性进展，持续提升居民幸福感、获得感、安全感。</w:t>
      </w:r>
    </w:p>
    <w:p w14:paraId="1BD9710E">
      <w:pPr>
        <w:keepNext w:val="0"/>
        <w:keepLines w:val="0"/>
        <w:widowControl/>
        <w:suppressLineNumbers w:val="0"/>
        <w:jc w:val="left"/>
      </w:pPr>
      <w:r>
        <w:rPr>
          <w:rFonts w:ascii="宋体" w:hAnsi="宋体" w:eastAsia="宋体" w:cs="宋体"/>
          <w:kern w:val="0"/>
          <w:sz w:val="24"/>
          <w:szCs w:val="24"/>
          <w:lang w:val="en-US" w:eastAsia="zh-CN" w:bidi="ar"/>
        </w:rPr>
        <w:t>五、2026年发展核心目标（落地导向）</w:t>
      </w:r>
    </w:p>
    <w:p w14:paraId="6182EAC1">
      <w:pPr>
        <w:keepNext w:val="0"/>
        <w:keepLines w:val="0"/>
        <w:widowControl/>
        <w:suppressLineNumbers w:val="0"/>
        <w:jc w:val="left"/>
      </w:pPr>
      <w:r>
        <w:rPr>
          <w:rFonts w:ascii="宋体" w:hAnsi="宋体" w:eastAsia="宋体" w:cs="宋体"/>
          <w:kern w:val="0"/>
          <w:sz w:val="24"/>
          <w:szCs w:val="24"/>
          <w:lang w:val="en-US" w:eastAsia="zh-CN" w:bidi="ar"/>
        </w:rPr>
        <w:t>围绕上述布局，2026年拱墅区重点实现“五个突破”：一是人工智能“中国算谷”建设取得重大突破，数字经济、生命健康两大千亿级培育产业规模持续壮大，人工智能核心产业营收突破800亿元，“一轴一核两翼六融合”发展格局持续深化；二是规上工业增加值增长8%以上，现代商贸核心优势持续巩固，社会消费品零售总额保持全省第一，新增国高企75家以上，科创与商贸产业核心竞争力位居全省前列；三是科创成果转化能力显著增强，落地亿元以上产业项目58个、50亿元以上项目2个，百亿元级项目实现新突破，自主创新策源能力持续提升；四是交通、医疗、教育等基础设施不断完善，老旧小区更新提质见效，社会消费品零售总额稳步增长，数字消费、文旅消费、电竞消费活力持续释放；五是公共服务均等化水平持续提升，城乡居民收入增长与经济增长同步，生态环境质量保持优良，运河文化传承成效显著，产城文深度融合，科创辐射、商贸引领作用凸显，全力打造中国式现代化和共同富裕区域范例，高水平绘就运河璀璨、商贸繁荣、数字领先、幸福宜居的拱墅新画卷，勇当建设世界一流的社会主义现代化国际大都市排头兵。</w:t>
      </w:r>
    </w:p>
    <w:p w14:paraId="7199A1B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4754A"/>
    <w:rsid w:val="59F47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2026-02-10T13:01:00Z</dcterms:created>
  <dc:creator>苏暖阳</dc:creator>
  <cp:lastModifiedBy>苏暖阳</cp:lastModifiedBy>
  <dcterms:modified xsi:type="dcterms:W3CDTF">2026-02-10T13:02:50Z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ABB3098B85744585B8A7EDC8A5D5DE9A_11</vt:lpwstr>
  </property>
  <property fmtid="{D5CDD505-2E9C-101B-9397-08002B2CF9AE}" pid="4" name="KSOTemplateDocerSaveRecord">
    <vt:lpwstr>eyJoZGlkIjoiMjM4ZTNiOWU4YWUzY2Q2NGI5MDA5MDQ1MDYzMGJhZTEiLCJ1c2VySWQiOiI0MTU5MzAzMDcifQ==</vt:lpwstr>
  </property>
</Properties>
</file>