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杭州楼市资料联网更新说明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更新日期：2026-06-03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一、本次已修改文件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重写：2026年杭州买房全政策详细分析.docx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重写：2026年杭州市全域房产政策及房产补贴大全.docx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重写：2026年杭州二手房交易流程1.docx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加注：学区、各区整体发展布局、杭州市发展规划等其余文档。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二、核心修改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限购：统一修正为杭州全市购房不再审核购房资格。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限售/限价/摇号：按2024年10月9日后出让住宅用地的新规则修正，不再使用原文热点盘/普通盘统一限售年限。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公积金：最高额度更新为180万元，个人最高90万元，倍数20倍，并补充额度上浮规则。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贷款：商业贷款最低首付保留15%，利率改为参考LPR和银行加减点。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税费：契税按140㎡分档，个人销售未满2年住房增值税主税率更新为3%。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市场：补充2026年4月9968套、5月9087套的杭州二手房成交信息，并提示结构性分化。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三、未直接覆盖的内容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学区划片、区县补贴、指定楼盘消费券、具体项目摇号/限售规则变化非常快，本次只做资料开头的联网校正提示，具体交易前仍需逐项核验官方公告。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来源清单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杭州全面取消住房限购：新华社/新华网，2024-05-09。https://www.news.cn/20240509/b39dc5497d0e45ebbd9dbcbd762afba5/c.html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杭州2024年10月楼市新政解读：浙江在线转杭州市住保房管局解读，2024-10-10。https://zjnews.zjol.com.cn/zjnews/202410/t20241010_30571193.shtml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商业性个人住房贷款最低首付比例：中国人民银行、国家金融监督管理总局，2024-09-24。https://www.pbc.gov.cn/goutongjiaoliu/113456/113469/2025092212554216285/index.html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杭州住房公积金使用政策：杭州市人民政府公报，2026-03-30。https://zfgb.hangzhou.gov.cn/11/103220263/t130220263034/530322.shtml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个人购房契税政策：国家税务总局热点问答，2024-12-13。https://shanxi.chinatax.gov.cn/web/detail/sx-11400-548-1802372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个人销售住房增值税政策：财政部、税务总局公告2025年第17号，2025-12-29。https://guizhou.chinatax.gov.cn/wjjb/zcfgk/szfl/zzs/202512/t20251231_89105624.html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2026年5月LPR：中新网据央行网站，2026-05-20。https://www.chinanews.com.cn/cj/2026/05-20/10624697.shtml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2026年5月杭州二手房成交：杭州网/都市快报，2026-06-02。https://hznews.hangzhou.com.cn/chengshi/content/2026-06/02/content_9232622.htm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2026年4月杭州二手房成交：杭州网房产频道/都市快报，2026-05-05。https://house.hangzhou.com.cn/content/2026-05/05/content_9216540.html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