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36"/>
        </w:rPr>
        <w:t>2026年杭州买房政策联网校正版</w:t>
      </w:r>
    </w:p>
    <w:p>
      <w:pPr>
        <w:jc w:val="center"/>
      </w:pPr>
      <w:r>
        <w:rPr>
          <w:rFonts w:ascii="Microsoft YaHei" w:hAnsi="Microsoft YaHei" w:eastAsia="Microsoft YaHei"/>
          <w:color w:val="595959"/>
          <w:sz w:val="20"/>
        </w:rPr>
        <w:t>更新日期：2026-06-03；已按公开来源修正限购、限售/摇号、贷款、公积金、税费口径</w:t>
      </w:r>
    </w:p>
    <w:p/>
    <w:p>
      <w:pPr>
        <w:spacing w:after="80" w:line="276" w:lineRule="auto"/>
      </w:pPr>
      <w:r>
        <w:rPr>
          <w:rFonts w:ascii="Microsoft YaHei" w:hAnsi="Microsoft YaHei" w:eastAsia="Microsoft YaHei"/>
          <w:b/>
          <w:sz w:val="21"/>
        </w:rPr>
        <w:t>本版替换原文中互相冲突或无法核实的2026年1月/2月政策表述。涉及实际购房资格、贷款、税费、补贴申请时，仍需以杭州市住保房管局、税务、公积金中心和经办银行实时审核为准。</w:t>
      </w:r>
    </w:p>
    <w:p>
      <w:pPr>
        <w:pStyle w:val="Heading1"/>
      </w:pPr>
      <w:r>
        <w:rPr>
          <w:rFonts w:ascii="Microsoft YaHei" w:hAnsi="Microsoft YaHei" w:eastAsia="Microsoft YaHei"/>
          <w:b/>
          <w:color w:val="1F4E79"/>
          <w:sz w:val="32"/>
        </w:rPr>
        <w:t>一、限购与购房资格</w:t>
      </w:r>
    </w:p>
    <w:p>
      <w:pPr>
        <w:pStyle w:val="ListBullet"/>
        <w:spacing w:after="40"/>
      </w:pPr>
      <w:r>
        <w:rPr>
          <w:rFonts w:ascii="Microsoft YaHei" w:hAnsi="Microsoft YaHei" w:eastAsia="Microsoft YaHei"/>
          <w:sz w:val="21"/>
        </w:rPr>
        <w:t>最新可核实口径：杭州已于2024年5月9日全面取消住房限购，在杭州市范围内购买住房不再审核购房资格。</w:t>
      </w:r>
    </w:p>
    <w:p>
      <w:pPr>
        <w:pStyle w:val="ListBullet"/>
        <w:spacing w:after="40"/>
      </w:pPr>
      <w:r>
        <w:rPr>
          <w:rFonts w:ascii="Microsoft YaHei" w:hAnsi="Microsoft YaHei" w:eastAsia="Microsoft YaHei"/>
          <w:sz w:val="21"/>
        </w:rPr>
        <w:t>不再区分上城、拱墅、西湖、滨江等中心城区和非中心城区的购房资格限制；原资料中“四区仍限购”的表述已删除。</w:t>
      </w:r>
    </w:p>
    <w:p>
      <w:pPr>
        <w:pStyle w:val="ListBullet"/>
        <w:spacing w:after="40"/>
      </w:pPr>
      <w:r>
        <w:rPr>
          <w:rFonts w:ascii="Microsoft YaHei" w:hAnsi="Microsoft YaHei" w:eastAsia="Microsoft YaHei"/>
          <w:sz w:val="21"/>
        </w:rPr>
        <w:t>购房落户：在杭州取得合法产权住房的非杭州户籍人员，可按政策申请落户；具体落户材料和流程以公安、政务服务平台实时要求为准。</w:t>
      </w:r>
    </w:p>
    <w:p>
      <w:pPr>
        <w:pStyle w:val="Heading1"/>
      </w:pPr>
      <w:r>
        <w:rPr>
          <w:rFonts w:ascii="Microsoft YaHei" w:hAnsi="Microsoft YaHei" w:eastAsia="Microsoft YaHei"/>
          <w:b/>
          <w:color w:val="1F4E79"/>
          <w:sz w:val="32"/>
        </w:rPr>
        <w:t>二、限售、限价与公证摇号</w:t>
      </w:r>
    </w:p>
    <w:p>
      <w:pPr>
        <w:pStyle w:val="ListBullet"/>
        <w:spacing w:after="40"/>
      </w:pPr>
      <w:r>
        <w:rPr>
          <w:rFonts w:ascii="Microsoft YaHei" w:hAnsi="Microsoft YaHei" w:eastAsia="Microsoft YaHei"/>
          <w:sz w:val="21"/>
        </w:rPr>
        <w:t>2024年5月9日起，购房意向登记家庭数量小于或等于准售房源数量的新建商品住房项目，取消公证摇号销售要求，由开发企业自主销售。</w:t>
      </w:r>
    </w:p>
    <w:p>
      <w:pPr>
        <w:pStyle w:val="ListBullet"/>
        <w:spacing w:after="40"/>
      </w:pPr>
      <w:r>
        <w:rPr>
          <w:rFonts w:ascii="Microsoft YaHei" w:hAnsi="Microsoft YaHei" w:eastAsia="Microsoft YaHei"/>
          <w:sz w:val="21"/>
        </w:rPr>
        <w:t>2024年10月9日后出让的住宅用地，执行“新地新办法”：新建商品房不再设置限价；若报名家庭数大于准售房源数，仍需公证摇号，但不再实行社保排序和限售。</w:t>
      </w:r>
    </w:p>
    <w:p>
      <w:pPr>
        <w:pStyle w:val="ListBullet"/>
        <w:spacing w:after="40"/>
      </w:pPr>
      <w:r>
        <w:rPr>
          <w:rFonts w:ascii="Microsoft YaHei" w:hAnsi="Microsoft YaHei" w:eastAsia="Microsoft YaHei"/>
          <w:sz w:val="21"/>
        </w:rPr>
        <w:t>2024年10月9日前已出让或公告出让地块，仍按原合同、公告和项目销售规则执行。原资料中“热点盘5年、普通盘3年、法拍房5年”的统一表述不再作为最新通用口径。</w:t>
      </w:r>
    </w:p>
    <w:p>
      <w:pPr>
        <w:pStyle w:val="Heading1"/>
      </w:pPr>
      <w:r>
        <w:rPr>
          <w:rFonts w:ascii="Microsoft YaHei" w:hAnsi="Microsoft YaHei" w:eastAsia="Microsoft YaHei"/>
          <w:b/>
          <w:color w:val="1F4E79"/>
          <w:sz w:val="32"/>
        </w:rPr>
        <w:t>三、贷款与利率</w:t>
      </w:r>
    </w:p>
    <w:tbl>
      <w:tblPr>
        <w:tblStyle w:val="TableGrid"/>
        <w:tblW w:type="auto" w:w="0"/>
        <w:tblLook w:firstColumn="1" w:firstRow="1" w:lastColumn="0" w:lastRow="0" w:noHBand="0" w:noVBand="1" w:val="04A0"/>
      </w:tblPr>
      <w:tblGrid>
        <w:gridCol w:w="3307"/>
        <w:gridCol w:w="3307"/>
        <w:gridCol w:w="3307"/>
      </w:tblGrid>
      <w:tr>
        <w:tc>
          <w:tcPr>
            <w:tcW w:type="dxa" w:w="3307"/>
            <w:shd w:fill="1F4E79"/>
          </w:tcPr>
          <w:p>
            <w:r>
              <w:rPr>
                <w:rFonts w:ascii="Microsoft YaHei" w:hAnsi="Microsoft YaHei" w:eastAsia="Microsoft YaHei"/>
                <w:b/>
                <w:color w:val="FFFFFF"/>
                <w:sz w:val="19"/>
              </w:rPr>
              <w:t>项目</w:t>
            </w:r>
          </w:p>
        </w:tc>
        <w:tc>
          <w:tcPr>
            <w:tcW w:type="dxa" w:w="3307"/>
            <w:shd w:fill="1F4E79"/>
          </w:tcPr>
          <w:p>
            <w:r>
              <w:rPr>
                <w:rFonts w:ascii="Microsoft YaHei" w:hAnsi="Microsoft YaHei" w:eastAsia="Microsoft YaHei"/>
                <w:b/>
                <w:color w:val="FFFFFF"/>
                <w:sz w:val="19"/>
              </w:rPr>
              <w:t>联网校正后的口径</w:t>
            </w:r>
          </w:p>
        </w:tc>
        <w:tc>
          <w:tcPr>
            <w:tcW w:type="dxa" w:w="3307"/>
            <w:shd w:fill="1F4E79"/>
          </w:tcPr>
          <w:p>
            <w:r>
              <w:rPr>
                <w:rFonts w:ascii="Microsoft YaHei" w:hAnsi="Microsoft YaHei" w:eastAsia="Microsoft YaHei"/>
                <w:b/>
                <w:color w:val="FFFFFF"/>
                <w:sz w:val="19"/>
              </w:rPr>
              <w:t>操作提示</w:t>
            </w:r>
          </w:p>
        </w:tc>
      </w:tr>
      <w:tr>
        <w:tc>
          <w:tcPr>
            <w:tcW w:type="dxa" w:w="3307"/>
          </w:tcPr>
          <w:p>
            <w:pPr>
              <w:spacing w:after="0"/>
            </w:pPr>
            <w:r>
              <w:rPr>
                <w:rFonts w:ascii="Microsoft YaHei" w:hAnsi="Microsoft YaHei" w:eastAsia="Microsoft YaHei"/>
                <w:sz w:val="18"/>
              </w:rPr>
              <w:t>商业贷款首付</w:t>
            </w:r>
          </w:p>
        </w:tc>
        <w:tc>
          <w:tcPr>
            <w:tcW w:type="dxa" w:w="3307"/>
          </w:tcPr>
          <w:p>
            <w:pPr>
              <w:spacing w:after="0"/>
            </w:pPr>
            <w:r>
              <w:rPr>
                <w:rFonts w:ascii="Microsoft YaHei" w:hAnsi="Microsoft YaHei" w:eastAsia="Microsoft YaHei"/>
                <w:sz w:val="18"/>
              </w:rPr>
              <w:t>全国层面商业性个人住房贷款不再区分首套、二套，最低首付款比例统一为不低于15%。</w:t>
            </w:r>
          </w:p>
        </w:tc>
        <w:tc>
          <w:tcPr>
            <w:tcW w:type="dxa" w:w="3307"/>
          </w:tcPr>
          <w:p>
            <w:pPr>
              <w:spacing w:after="0"/>
            </w:pPr>
            <w:r>
              <w:rPr>
                <w:rFonts w:ascii="Microsoft YaHei" w:hAnsi="Microsoft YaHei" w:eastAsia="Microsoft YaHei"/>
                <w:sz w:val="18"/>
              </w:rPr>
              <w:t>银行会结合征信、收入、负债、房龄和房屋类型审批。</w:t>
            </w:r>
          </w:p>
        </w:tc>
      </w:tr>
      <w:tr>
        <w:tc>
          <w:tcPr>
            <w:tcW w:type="dxa" w:w="3307"/>
          </w:tcPr>
          <w:p>
            <w:pPr>
              <w:spacing w:after="0"/>
            </w:pPr>
            <w:r>
              <w:rPr>
                <w:rFonts w:ascii="Microsoft YaHei" w:hAnsi="Microsoft YaHei" w:eastAsia="Microsoft YaHei"/>
                <w:sz w:val="18"/>
              </w:rPr>
              <w:t>商业贷款利率</w:t>
            </w:r>
          </w:p>
        </w:tc>
        <w:tc>
          <w:tcPr>
            <w:tcW w:type="dxa" w:w="3307"/>
          </w:tcPr>
          <w:p>
            <w:pPr>
              <w:spacing w:after="0"/>
            </w:pPr>
            <w:r>
              <w:rPr>
                <w:rFonts w:ascii="Microsoft YaHei" w:hAnsi="Microsoft YaHei" w:eastAsia="Microsoft YaHei"/>
                <w:sz w:val="18"/>
              </w:rPr>
              <w:t>2026年5月20日LPR：1年期3.00%，5年期以上3.50%。</w:t>
            </w:r>
          </w:p>
        </w:tc>
        <w:tc>
          <w:tcPr>
            <w:tcW w:type="dxa" w:w="3307"/>
          </w:tcPr>
          <w:p>
            <w:pPr>
              <w:spacing w:after="0"/>
            </w:pPr>
            <w:r>
              <w:rPr>
                <w:rFonts w:ascii="Microsoft YaHei" w:hAnsi="Microsoft YaHei" w:eastAsia="Microsoft YaHei"/>
                <w:sz w:val="18"/>
              </w:rPr>
              <w:t>实际房贷利率不是固定3.05%，以银行当日加点/减点为准。</w:t>
            </w:r>
          </w:p>
        </w:tc>
      </w:tr>
      <w:tr>
        <w:tc>
          <w:tcPr>
            <w:tcW w:type="dxa" w:w="3307"/>
          </w:tcPr>
          <w:p>
            <w:pPr>
              <w:spacing w:after="0"/>
            </w:pPr>
            <w:r>
              <w:rPr>
                <w:rFonts w:ascii="Microsoft YaHei" w:hAnsi="Microsoft YaHei" w:eastAsia="Microsoft YaHei"/>
                <w:sz w:val="18"/>
              </w:rPr>
              <w:t>公积金贷款额度</w:t>
            </w:r>
          </w:p>
        </w:tc>
        <w:tc>
          <w:tcPr>
            <w:tcW w:type="dxa" w:w="3307"/>
          </w:tcPr>
          <w:p>
            <w:pPr>
              <w:spacing w:after="0"/>
            </w:pPr>
            <w:r>
              <w:rPr>
                <w:rFonts w:ascii="Microsoft YaHei" w:hAnsi="Microsoft YaHei" w:eastAsia="Microsoft YaHei"/>
                <w:sz w:val="18"/>
              </w:rPr>
              <w:t>杭州公积金最高额度由130万元提高到180万元，个人最高90万元；个人可贷额度倍数由15倍调至20倍。</w:t>
            </w:r>
          </w:p>
        </w:tc>
        <w:tc>
          <w:tcPr>
            <w:tcW w:type="dxa" w:w="3307"/>
          </w:tcPr>
          <w:p>
            <w:pPr>
              <w:spacing w:after="0"/>
            </w:pPr>
            <w:r>
              <w:rPr>
                <w:rFonts w:ascii="Microsoft YaHei" w:hAnsi="Microsoft YaHei" w:eastAsia="Microsoft YaHei"/>
                <w:sz w:val="18"/>
              </w:rPr>
              <w:t>2026年4月1日起施行，具体额度以公积金中心审核为准。</w:t>
            </w:r>
          </w:p>
        </w:tc>
      </w:tr>
      <w:tr>
        <w:tc>
          <w:tcPr>
            <w:tcW w:type="dxa" w:w="3307"/>
          </w:tcPr>
          <w:p>
            <w:pPr>
              <w:spacing w:after="0"/>
            </w:pPr>
            <w:r>
              <w:rPr>
                <w:rFonts w:ascii="Microsoft YaHei" w:hAnsi="Microsoft YaHei" w:eastAsia="Microsoft YaHei"/>
                <w:sz w:val="18"/>
              </w:rPr>
              <w:t>公积金额度上浮</w:t>
            </w:r>
          </w:p>
        </w:tc>
        <w:tc>
          <w:tcPr>
            <w:tcW w:type="dxa" w:w="3307"/>
          </w:tcPr>
          <w:p>
            <w:pPr>
              <w:spacing w:after="0"/>
            </w:pPr>
            <w:r>
              <w:rPr>
                <w:rFonts w:ascii="Microsoft YaHei" w:hAnsi="Microsoft YaHei" w:eastAsia="Microsoft YaHei"/>
                <w:sz w:val="18"/>
              </w:rPr>
              <w:t>新市民/青年家庭上浮20%，多子女和高层次人才家庭上浮50%，绿色低碳建筑或以旧换新上浮20%；符合多类条件可择高叠加，最高70%。</w:t>
            </w:r>
          </w:p>
        </w:tc>
        <w:tc>
          <w:tcPr>
            <w:tcW w:type="dxa" w:w="3307"/>
          </w:tcPr>
          <w:p>
            <w:pPr>
              <w:spacing w:after="0"/>
            </w:pPr>
            <w:r>
              <w:rPr>
                <w:rFonts w:ascii="Microsoft YaHei" w:hAnsi="Microsoft YaHei" w:eastAsia="Microsoft YaHei"/>
                <w:sz w:val="18"/>
              </w:rPr>
              <w:t>是否可叠加、是否触及上限，以公积金中心细则为准。</w:t>
            </w:r>
          </w:p>
        </w:tc>
      </w:tr>
    </w:tbl>
    <w:p/>
    <w:p>
      <w:pPr>
        <w:pStyle w:val="Heading1"/>
      </w:pPr>
      <w:r>
        <w:rPr>
          <w:rFonts w:ascii="Microsoft YaHei" w:hAnsi="Microsoft YaHei" w:eastAsia="Microsoft YaHei"/>
          <w:b/>
          <w:color w:val="1F4E79"/>
          <w:sz w:val="32"/>
        </w:rPr>
        <w:t>四、交易税费</w:t>
      </w:r>
    </w:p>
    <w:tbl>
      <w:tblPr>
        <w:tblStyle w:val="TableGrid"/>
        <w:tblW w:type="auto" w:w="0"/>
        <w:tblLook w:firstColumn="1" w:firstRow="1" w:lastColumn="0" w:lastRow="0" w:noHBand="0" w:noVBand="1" w:val="04A0"/>
      </w:tblPr>
      <w:tblGrid>
        <w:gridCol w:w="3307"/>
        <w:gridCol w:w="3307"/>
        <w:gridCol w:w="3307"/>
      </w:tblGrid>
      <w:tr>
        <w:tc>
          <w:tcPr>
            <w:tcW w:type="dxa" w:w="3307"/>
            <w:shd w:fill="1F4E79"/>
          </w:tcPr>
          <w:p>
            <w:r>
              <w:rPr>
                <w:rFonts w:ascii="Microsoft YaHei" w:hAnsi="Microsoft YaHei" w:eastAsia="Microsoft YaHei"/>
                <w:b/>
                <w:color w:val="FFFFFF"/>
                <w:sz w:val="19"/>
              </w:rPr>
              <w:t>税种</w:t>
            </w:r>
          </w:p>
        </w:tc>
        <w:tc>
          <w:tcPr>
            <w:tcW w:type="dxa" w:w="3307"/>
            <w:shd w:fill="1F4E79"/>
          </w:tcPr>
          <w:p>
            <w:r>
              <w:rPr>
                <w:rFonts w:ascii="Microsoft YaHei" w:hAnsi="Microsoft YaHei" w:eastAsia="Microsoft YaHei"/>
                <w:b/>
                <w:color w:val="FFFFFF"/>
                <w:sz w:val="19"/>
              </w:rPr>
              <w:t>联网校正后的口径</w:t>
            </w:r>
          </w:p>
        </w:tc>
        <w:tc>
          <w:tcPr>
            <w:tcW w:type="dxa" w:w="3307"/>
            <w:shd w:fill="1F4E79"/>
          </w:tcPr>
          <w:p>
            <w:r>
              <w:rPr>
                <w:rFonts w:ascii="Microsoft YaHei" w:hAnsi="Microsoft YaHei" w:eastAsia="Microsoft YaHei"/>
                <w:b/>
                <w:color w:val="FFFFFF"/>
                <w:sz w:val="19"/>
              </w:rPr>
              <w:t>备注</w:t>
            </w:r>
          </w:p>
        </w:tc>
      </w:tr>
      <w:tr>
        <w:tc>
          <w:tcPr>
            <w:tcW w:type="dxa" w:w="3307"/>
          </w:tcPr>
          <w:p>
            <w:pPr>
              <w:spacing w:after="0"/>
            </w:pPr>
            <w:r>
              <w:rPr>
                <w:rFonts w:ascii="Microsoft YaHei" w:hAnsi="Microsoft YaHei" w:eastAsia="Microsoft YaHei"/>
                <w:sz w:val="18"/>
              </w:rPr>
              <w:t>契税</w:t>
            </w:r>
          </w:p>
        </w:tc>
        <w:tc>
          <w:tcPr>
            <w:tcW w:type="dxa" w:w="3307"/>
          </w:tcPr>
          <w:p>
            <w:pPr>
              <w:spacing w:after="0"/>
            </w:pPr>
            <w:r>
              <w:rPr>
                <w:rFonts w:ascii="Microsoft YaHei" w:hAnsi="Microsoft YaHei" w:eastAsia="Microsoft YaHei"/>
                <w:sz w:val="18"/>
              </w:rPr>
              <w:t>家庭唯一住房：140㎡及以下1%，140㎡以上1.5%；家庭第二套住房：140㎡及以下1%，140㎡以上2%。</w:t>
            </w:r>
          </w:p>
        </w:tc>
        <w:tc>
          <w:tcPr>
            <w:tcW w:type="dxa" w:w="3307"/>
          </w:tcPr>
          <w:p>
            <w:pPr>
              <w:spacing w:after="0"/>
            </w:pPr>
            <w:r>
              <w:rPr>
                <w:rFonts w:ascii="Microsoft YaHei" w:hAnsi="Microsoft YaHei" w:eastAsia="Microsoft YaHei"/>
                <w:sz w:val="18"/>
              </w:rPr>
              <w:t>2024年12月1日起执行；三套及以上、非住宅等按税务部门核定。</w:t>
            </w:r>
          </w:p>
        </w:tc>
      </w:tr>
      <w:tr>
        <w:tc>
          <w:tcPr>
            <w:tcW w:type="dxa" w:w="3307"/>
          </w:tcPr>
          <w:p>
            <w:pPr>
              <w:spacing w:after="0"/>
            </w:pPr>
            <w:r>
              <w:rPr>
                <w:rFonts w:ascii="Microsoft YaHei" w:hAnsi="Microsoft YaHei" w:eastAsia="Microsoft YaHei"/>
                <w:sz w:val="18"/>
              </w:rPr>
              <w:t>增值税</w:t>
            </w:r>
          </w:p>
        </w:tc>
        <w:tc>
          <w:tcPr>
            <w:tcW w:type="dxa" w:w="3307"/>
          </w:tcPr>
          <w:p>
            <w:pPr>
              <w:spacing w:after="0"/>
            </w:pPr>
            <w:r>
              <w:rPr>
                <w:rFonts w:ascii="Microsoft YaHei" w:hAnsi="Microsoft YaHei" w:eastAsia="Microsoft YaHei"/>
                <w:sz w:val="18"/>
              </w:rPr>
              <w:t>个人销售购买不足2年的住房，按3%征收率全额缴纳增值税；购买2年以上（含2年）对外销售，免征增值税。</w:t>
            </w:r>
          </w:p>
        </w:tc>
        <w:tc>
          <w:tcPr>
            <w:tcW w:type="dxa" w:w="3307"/>
          </w:tcPr>
          <w:p>
            <w:pPr>
              <w:spacing w:after="0"/>
            </w:pPr>
            <w:r>
              <w:rPr>
                <w:rFonts w:ascii="Microsoft YaHei" w:hAnsi="Microsoft YaHei" w:eastAsia="Microsoft YaHei"/>
                <w:sz w:val="18"/>
              </w:rPr>
              <w:t>2026年1月1日起施行。</w:t>
            </w:r>
          </w:p>
        </w:tc>
      </w:tr>
      <w:tr>
        <w:tc>
          <w:tcPr>
            <w:tcW w:type="dxa" w:w="3307"/>
          </w:tcPr>
          <w:p>
            <w:pPr>
              <w:spacing w:after="0"/>
            </w:pPr>
            <w:r>
              <w:rPr>
                <w:rFonts w:ascii="Microsoft YaHei" w:hAnsi="Microsoft YaHei" w:eastAsia="Microsoft YaHei"/>
                <w:sz w:val="18"/>
              </w:rPr>
              <w:t>个人所得税</w:t>
            </w:r>
          </w:p>
        </w:tc>
        <w:tc>
          <w:tcPr>
            <w:tcW w:type="dxa" w:w="3307"/>
          </w:tcPr>
          <w:p>
            <w:pPr>
              <w:spacing w:after="0"/>
            </w:pPr>
            <w:r>
              <w:rPr>
                <w:rFonts w:ascii="Microsoft YaHei" w:hAnsi="Microsoft YaHei" w:eastAsia="Microsoft YaHei"/>
                <w:sz w:val="18"/>
              </w:rPr>
              <w:t>满五唯一通常可免征；不符合免征条件的，按地方税务核定方式办理。</w:t>
            </w:r>
          </w:p>
        </w:tc>
        <w:tc>
          <w:tcPr>
            <w:tcW w:type="dxa" w:w="3307"/>
          </w:tcPr>
          <w:p>
            <w:pPr>
              <w:spacing w:after="0"/>
            </w:pPr>
            <w:r>
              <w:rPr>
                <w:rFonts w:ascii="Microsoft YaHei" w:hAnsi="Microsoft YaHei" w:eastAsia="Microsoft YaHei"/>
                <w:sz w:val="18"/>
              </w:rPr>
              <w:t>具体以杭州税务窗口核算为准。</w:t>
            </w:r>
          </w:p>
        </w:tc>
      </w:tr>
      <w:tr>
        <w:tc>
          <w:tcPr>
            <w:tcW w:type="dxa" w:w="3307"/>
          </w:tcPr>
          <w:p>
            <w:pPr>
              <w:spacing w:after="0"/>
            </w:pPr>
            <w:r>
              <w:rPr>
                <w:rFonts w:ascii="Microsoft YaHei" w:hAnsi="Microsoft YaHei" w:eastAsia="Microsoft YaHei"/>
                <w:sz w:val="18"/>
              </w:rPr>
              <w:t>换房退税</w:t>
            </w:r>
          </w:p>
        </w:tc>
        <w:tc>
          <w:tcPr>
            <w:tcW w:type="dxa" w:w="3307"/>
          </w:tcPr>
          <w:p>
            <w:pPr>
              <w:spacing w:after="0"/>
            </w:pPr>
            <w:r>
              <w:rPr>
                <w:rFonts w:ascii="Microsoft YaHei" w:hAnsi="Microsoft YaHei" w:eastAsia="Microsoft YaHei"/>
                <w:sz w:val="18"/>
              </w:rPr>
              <w:t>居民换购住房个人所得税退税政策需以财政部、税务总局延续文件和杭州税务办理口径核验。</w:t>
            </w:r>
          </w:p>
        </w:tc>
        <w:tc>
          <w:tcPr>
            <w:tcW w:type="dxa" w:w="3307"/>
          </w:tcPr>
          <w:p>
            <w:pPr>
              <w:spacing w:after="0"/>
            </w:pPr>
            <w:r>
              <w:rPr>
                <w:rFonts w:ascii="Microsoft YaHei" w:hAnsi="Microsoft YaHei" w:eastAsia="Microsoft YaHei"/>
                <w:sz w:val="18"/>
              </w:rPr>
              <w:t>申请前先确认旧房、新房时间窗口和家庭住房套数。</w:t>
            </w:r>
          </w:p>
        </w:tc>
      </w:tr>
    </w:tbl>
    <w:p/>
    <w:p>
      <w:pPr>
        <w:pStyle w:val="Heading1"/>
      </w:pPr>
      <w:r>
        <w:rPr>
          <w:rFonts w:ascii="Microsoft YaHei" w:hAnsi="Microsoft YaHei" w:eastAsia="Microsoft YaHei"/>
          <w:b/>
          <w:color w:val="1F4E79"/>
          <w:sz w:val="32"/>
        </w:rPr>
        <w:t>五、买房决策提示</w:t>
      </w:r>
    </w:p>
    <w:p>
      <w:pPr>
        <w:pStyle w:val="ListBullet"/>
        <w:spacing w:after="40"/>
      </w:pPr>
      <w:r>
        <w:rPr>
          <w:rFonts w:ascii="Microsoft YaHei" w:hAnsi="Microsoft YaHei" w:eastAsia="Microsoft YaHei"/>
          <w:sz w:val="21"/>
        </w:rPr>
        <w:t>政策门槛降低不等于资产价格确定上涨。2026年4-5月杭州二手房成交活跃，5月全市二手房网签9087套，连续三个月突破9000套，但市场仍呈现改善盘、核心板块和普通板块分化。</w:t>
      </w:r>
    </w:p>
    <w:p>
      <w:pPr>
        <w:pStyle w:val="ListBullet"/>
        <w:spacing w:after="40"/>
      </w:pPr>
      <w:r>
        <w:rPr>
          <w:rFonts w:ascii="Microsoft YaHei" w:hAnsi="Microsoft YaHei" w:eastAsia="Microsoft YaHei"/>
          <w:sz w:val="21"/>
        </w:rPr>
        <w:t>实际筛选房源时，应同时核验：挂牌量、近90天成交价、同小区去化速度、学区预警、地铁/产业兑现、物业和房龄。</w:t>
      </w:r>
    </w:p>
    <w:p>
      <w:pPr>
        <w:pStyle w:val="Heading2"/>
      </w:pPr>
      <w:r>
        <w:rPr>
          <w:rFonts w:ascii="Microsoft YaHei" w:hAnsi="Microsoft YaHei" w:eastAsia="Microsoft YaHei"/>
          <w:b/>
          <w:color w:val="1F4E79"/>
          <w:sz w:val="26"/>
        </w:rPr>
        <w:t>来源清单</w:t>
      </w:r>
    </w:p>
    <w:p>
      <w:pPr>
        <w:pStyle w:val="ListBullet"/>
        <w:spacing w:after="40"/>
      </w:pPr>
      <w:r>
        <w:rPr>
          <w:rFonts w:ascii="Microsoft YaHei" w:hAnsi="Microsoft YaHei" w:eastAsia="Microsoft YaHei"/>
          <w:sz w:val="21"/>
        </w:rPr>
        <w:t>杭州全面取消住房限购：新华社/新华网，2024-05-09。https://www.news.cn/20240509/b39dc5497d0e45ebbd9dbcbd762afba5/c.html</w:t>
      </w:r>
    </w:p>
    <w:p>
      <w:pPr>
        <w:pStyle w:val="ListBullet"/>
        <w:spacing w:after="40"/>
      </w:pPr>
      <w:r>
        <w:rPr>
          <w:rFonts w:ascii="Microsoft YaHei" w:hAnsi="Microsoft YaHei" w:eastAsia="Microsoft YaHei"/>
          <w:sz w:val="21"/>
        </w:rPr>
        <w:t>杭州2024年10月楼市新政解读：浙江在线转杭州市住保房管局解读，2024-10-10。https://zjnews.zjol.com.cn/zjnews/202410/t20241010_30571193.shtml</w:t>
      </w:r>
    </w:p>
    <w:p>
      <w:pPr>
        <w:pStyle w:val="ListBullet"/>
        <w:spacing w:after="40"/>
      </w:pPr>
      <w:r>
        <w:rPr>
          <w:rFonts w:ascii="Microsoft YaHei" w:hAnsi="Microsoft YaHei" w:eastAsia="Microsoft YaHei"/>
          <w:sz w:val="21"/>
        </w:rPr>
        <w:t>商业性个人住房贷款最低首付比例：中国人民银行、国家金融监督管理总局，2024-09-24。https://www.pbc.gov.cn/goutongjiaoliu/113456/113469/2025092212554216285/index.html</w:t>
      </w:r>
    </w:p>
    <w:p>
      <w:pPr>
        <w:pStyle w:val="ListBullet"/>
        <w:spacing w:after="40"/>
      </w:pPr>
      <w:r>
        <w:rPr>
          <w:rFonts w:ascii="Microsoft YaHei" w:hAnsi="Microsoft YaHei" w:eastAsia="Microsoft YaHei"/>
          <w:sz w:val="21"/>
        </w:rPr>
        <w:t>杭州住房公积金使用政策：杭州市人民政府公报，2026-03-30。https://zfgb.hangzhou.gov.cn/11/103220263/t130220263034/530322.shtml</w:t>
      </w:r>
    </w:p>
    <w:p>
      <w:pPr>
        <w:pStyle w:val="ListBullet"/>
        <w:spacing w:after="40"/>
      </w:pPr>
      <w:r>
        <w:rPr>
          <w:rFonts w:ascii="Microsoft YaHei" w:hAnsi="Microsoft YaHei" w:eastAsia="Microsoft YaHei"/>
          <w:sz w:val="21"/>
        </w:rPr>
        <w:t>个人购房契税政策：国家税务总局热点问答，2024-12-13。https://shanxi.chinatax.gov.cn/web/detail/sx-11400-548-1802372</w:t>
      </w:r>
    </w:p>
    <w:p>
      <w:pPr>
        <w:pStyle w:val="ListBullet"/>
        <w:spacing w:after="40"/>
      </w:pPr>
      <w:r>
        <w:rPr>
          <w:rFonts w:ascii="Microsoft YaHei" w:hAnsi="Microsoft YaHei" w:eastAsia="Microsoft YaHei"/>
          <w:sz w:val="21"/>
        </w:rPr>
        <w:t>个人销售住房增值税政策：财政部、税务总局公告2025年第17号，2025-12-29。https://guizhou.chinatax.gov.cn/wjjb/zcfgk/szfl/zzs/202512/t20251231_89105624.html</w:t>
      </w:r>
    </w:p>
    <w:p>
      <w:pPr>
        <w:pStyle w:val="ListBullet"/>
        <w:spacing w:after="40"/>
      </w:pPr>
      <w:r>
        <w:rPr>
          <w:rFonts w:ascii="Microsoft YaHei" w:hAnsi="Microsoft YaHei" w:eastAsia="Microsoft YaHei"/>
          <w:sz w:val="21"/>
        </w:rPr>
        <w:t>2026年5月LPR：中新网据央行网站，2026-05-20。https://www.chinanews.com.cn/cj/2026/05-20/10624697.shtml</w:t>
      </w:r>
    </w:p>
    <w:p>
      <w:pPr>
        <w:pStyle w:val="ListBullet"/>
        <w:spacing w:after="40"/>
      </w:pPr>
      <w:r>
        <w:rPr>
          <w:rFonts w:ascii="Microsoft YaHei" w:hAnsi="Microsoft YaHei" w:eastAsia="Microsoft YaHei"/>
          <w:sz w:val="21"/>
        </w:rPr>
        <w:t>2026年5月杭州二手房成交：第一财经，2026-06-02。https://www.yicai.com/news/103211762.html</w:t>
      </w:r>
    </w:p>
    <w:p>
      <w:pPr>
        <w:pStyle w:val="ListBullet"/>
        <w:spacing w:after="40"/>
      </w:pPr>
      <w:r>
        <w:rPr>
          <w:rFonts w:ascii="Microsoft YaHei" w:hAnsi="Microsoft YaHei" w:eastAsia="Microsoft YaHei"/>
          <w:sz w:val="21"/>
        </w:rPr>
        <w:t>2026年4月杭州二手房成交：杭州网房产频道，2026-05-30。https://house.hangzhou.com.cn/content/2026-05/30/content_9231466.html</w:t>
      </w:r>
    </w:p>
    <w:sectPr w:rsidR="00FC693F" w:rsidRPr="0006063C" w:rsidSect="00034616">
      <w:pgSz w:w="12240" w:h="15840"/>
      <w:pgMar w:top="1080" w:right="1160" w:bottom="108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