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2025-06-06</w:t>
      </w:r>
      <w:r>
        <w:rPr/>
        <w:t>，</w:t>
      </w:r>
      <w:r>
        <w:rPr/>
        <w:t xml:space="preserve">10:40 </w:t>
      </w:r>
      <w:r>
        <w:rPr/>
        <w:t>杨毅主任医师查房记录</w:t>
      </w:r>
    </w:p>
    <w:p>
      <w:r>
        <w:rPr/>
        <w:t xml:space="preserve">    患者血糖较前恢复。查体：神志清，精神软，巩膜无黄染，浅表淋巴结未及肿大，颈软，气管居中，无颈静脉怒张，双肺呼吸音粗，双肺未闻及干湿性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，双肾区叩痛阴性，双下肢轻度水肿。辅助检查：(2025-06-05 07:24)降钙素原定量检测：降钙素原定量检测 1.457ng/ml↑；(2025-06-05 10:07)甲状旁腺素(PTH)：甲状旁腺素 199pg/ml↑；(2025-06-06 05:27)血常规+CRP：白细胞计数 5.1×10^9/L，血红蛋白测定 100g/L↓，血小板计数 306×10^9/L，超敏C反应蛋白 22.8mg/L↑；诊断：1.腹膜透析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今杨毅</w:t>
      </w:r>
      <w:r>
        <w:rPr/>
        <w:t>主任医师查房示：患者病情诊断明确，无需鉴别。今日观察患者腹</w:t>
      </w:r>
      <w:r>
        <w:rPr/>
        <w:t>透袋仍</w:t>
      </w:r>
      <w:r>
        <w:rPr/>
        <w:t>浑浊，有絮状物存在，腹透管引流不畅，</w:t>
      </w:r>
      <w:r>
        <w:rPr/>
        <w:t>今日予</w:t>
      </w:r>
      <w:r>
        <w:rPr/>
        <w:t>尿激酶通管处理；</w:t>
      </w:r>
      <w:r>
        <w:rPr/>
        <w:t>其余继续</w:t>
      </w:r>
      <w:r>
        <w:rPr/>
        <w:t>辅以降压、改善贫血、降尿酸、补钙、降磷、维持性腹膜透析等对症支持治疗；根据病情变化及检查结果行下一步治疗。</w:t>
      </w:r>
    </w:p>
    <w:p/>
    <w:p/>
    <w:p>
      <w:r>
        <w:rPr/>
        <w:t>2025年6月6日10时41分</w:t>
      </w:r>
    </w:p>
    <w:p/>
    <w:p>
      <w:r>
        <w:rPr/>
        <w:t>上级医师签名</w:t>
      </w:r>
    </w:p>
    <w:p>
      <w:r>
        <w:rPr/>
        <w:t>2025年6月6日10时51分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