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2025-06-14</w:t>
      </w:r>
      <w:r>
        <w:rPr/>
        <w:t>，</w:t>
      </w:r>
      <w:r>
        <w:rPr/>
        <w:t xml:space="preserve">08:44 </w:t>
      </w:r>
      <w:r>
        <w:rPr/>
        <w:t>杨毅主任医师查房记录</w:t>
      </w:r>
    </w:p>
    <w:p>
      <w:r>
        <w:rPr/>
        <w:t xml:space="preserve">    患者无不适。查体：神志清，精神软，巩膜无黄染，浅表淋巴结未及肿大，颈软，气管居中，无颈静脉怒张，双肺呼吸音粗，双肺未闻及干湿性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，双肾区叩痛阴性，双下肢轻度水肿。辅助检查：(2025-06-14 07:26)降钙素原定量检测(急)(急诊和夜间病房检验)：降钙素原定量检测 6.093ng/ml↑；(2025-06-14 08:49)血常规+CRP(全血)(血液学检验)：白细胞计数 4.2×10^9/L，血红蛋白测定 86g/L↓，血小板计数 229×10^9/L，超敏C反应蛋白 15.9mg/L↑；诊断：1.腹膜透析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今杨毅</w:t>
      </w:r>
      <w:r>
        <w:rPr/>
        <w:t>主任医师查房示：患者无明显不适，继续美罗培南 0.5克 静脉滴注抗感染，继续观察患者腹透腹水性状，今复查血象及炎症指标较前进行性下降；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2025年6月14日09时45分</w:t>
      </w:r>
    </w:p>
    <w:p/>
    <w:p>
      <w:r>
        <w:rPr/>
        <w:t>上级医师签名</w:t>
      </w:r>
    </w:p>
    <w:p>
      <w:r>
        <w:rPr/>
        <w:t>2025年6月14日09时55分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