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2025-06-18</w:t>
      </w:r>
      <w:r>
        <w:rPr/>
        <w:t>，</w:t>
      </w:r>
      <w:r>
        <w:rPr/>
        <w:t xml:space="preserve">08:57 </w:t>
      </w:r>
      <w:r>
        <w:rPr/>
        <w:t>栗丽主治医师</w:t>
      </w:r>
      <w:r>
        <w:rPr/>
        <w:t>查房记录</w:t>
      </w:r>
    </w:p>
    <w:p>
      <w:r>
        <w:rPr/>
        <w:t xml:space="preserve">    患者无明显不适。查体：神志清，精神软，巩膜无黄染，浅表淋巴结未及肿大，颈软，气管居中，无颈静脉怒张，双肺呼吸音粗，双肺未闻及干湿性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，双肾区叩痛阴性，双下肢轻度水肿。辅助检查：(2025-06-17 09:00)血常规+CRP(全血)(血液学检验)：白细胞计数 4.1×10^9/L，血红蛋白测定 82g/L↓，血小板计数 259×10^9/L，超敏C反应蛋白 8.4mg/L↑；(2025-06-17 10:12)电解质六项(生化检验)：钾 4.46mmol/L，钠 139mmol/L，氯 103.4mmol/L，钙 2.64mmol/L↑，镁 0.74mmol/L↓，磷 1.14mmol/L；(2025-06-17 10:12)肝功能常规检查(生化检验)：直接胆红素 2.9μmol/L，间接胆红素 4.3μmol/L，白蛋白 20.8g/L↓，丙氨酸氨基转移酶 21U/L，天门冬氨酸氨基转移酶 45U/L；(2025-06-17 10:12)肾功能常规检查(生化检验)：尿素 11.6mmol/L↑，肌</w:t>
      </w:r>
      <w:r>
        <w:rPr/>
        <w:t>酐</w:t>
      </w:r>
      <w:r>
        <w:rPr/>
        <w:t xml:space="preserve"> 425μmol/L↑，尿酸 184.9μmol/L↓，估计肾小球滤过率 13ml/min·1.73m2↓；诊断：1.腹膜透析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19.冠状动脉粥样硬化。</w:t>
      </w:r>
      <w:r>
        <w:rPr/>
        <w:t>今栗丽主治医师</w:t>
      </w:r>
      <w:r>
        <w:rPr/>
        <w:t>查房示：患者无明显不适，继续美罗培南 0.5克 静脉滴注抗感染，复查血象及炎症指标较前进行性下降；患者继续</w:t>
      </w:r>
      <w:r>
        <w:rPr/>
        <w:t>予维持</w:t>
      </w:r>
      <w:r>
        <w:rPr/>
        <w:t>性血液透析，过程顺利，无明显不适；</w:t>
      </w:r>
      <w:r>
        <w:rPr/>
        <w:t>其余继续</w:t>
      </w:r>
      <w:r>
        <w:rPr/>
        <w:t>辅以降压、改善贫血、降尿酸、补钙、降磷、维持性腹膜透析等对症支持治疗。</w:t>
      </w:r>
    </w:p>
    <w:p/>
    <w:p/>
    <w:p>
      <w:r>
        <w:rPr/>
        <w:t>2025年6月18日09时58分</w:t>
      </w:r>
    </w:p>
    <w:p/>
    <w:p/>
    <w:p>
      <w:r>
        <w:rPr/>
        <w:t>2025年6月18日10时58分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