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2025-06-20</w:t>
      </w:r>
      <w:r>
        <w:rPr/>
        <w:t>，</w:t>
      </w:r>
      <w:r>
        <w:rPr/>
        <w:t xml:space="preserve">16:29 </w:t>
      </w:r>
      <w:r>
        <w:rPr/>
        <w:t>栗丽主任医师</w:t>
      </w:r>
      <w:r>
        <w:rPr/>
        <w:t>查房记录</w:t>
      </w:r>
    </w:p>
    <w:p>
      <w:r>
        <w:rPr/>
        <w:t xml:space="preserve">    未诉明显特殊不适。查体：神志清，精神软，巩膜无黄染，浅表淋巴结未及肿大，颈软，气管居中，无颈静脉怒张，双肺呼吸音粗，双肺未闻及干湿性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，双肾区叩痛阴性，双下肢轻度水肿。暂无更新。1.腹膜透析相关性腹膜炎 2.慢性肾脏病5期  腹膜透析  血液透析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 20.</w:t>
      </w:r>
      <w:r>
        <w:rPr/>
        <w:t>颅</w:t>
      </w:r>
      <w:r>
        <w:rPr/>
        <w:t>面部皮下高密度结节。</w:t>
      </w:r>
      <w:r>
        <w:rPr/>
        <w:t>今栗丽主任医师</w:t>
      </w:r>
      <w:r>
        <w:rPr/>
        <w:t>查房示：患者目前病情相对平稳，治疗上</w:t>
      </w:r>
      <w:r>
        <w:rPr/>
        <w:t>暂继续</w:t>
      </w:r>
      <w:r>
        <w:rPr/>
        <w:t>当前方案，根据患者病情变化调整诊疗方案。</w:t>
      </w:r>
    </w:p>
    <w:p/>
    <w:p/>
    <w:p>
      <w:r>
        <w:rPr/>
        <w:t>2025年6月20日16时37分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