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                </w:t>
      </w:r>
      <w:r>
        <w:rPr/>
        <w:t>医疗材料收费知情同意书</w:t>
      </w:r>
    </w:p>
    <w:p>
      <w:r>
        <w:rPr/>
        <w:t xml:space="preserve">    根据浙江省医疗收费有关规定，医疗机构在使用可吸收缝线、“除外内容”中列明的特殊缝线、植入性材料以及单价在 200 元以上的材料时，应事先征得患者或家属同意，并将所用产品的条码贴在相关诊疗记录单上备查。</w:t>
      </w:r>
    </w:p>
    <w:p>
      <w:r>
        <w:rPr/>
        <w:t xml:space="preserve">   患者因</w:t>
      </w:r>
      <w:r>
        <w:rPr>
          <w:b/>
        </w:rPr>
        <w:t>1.慢性肾脏病5期 肾性贫血 2.2型糖尿病 3.高血压 4.心功能不全 心力衰竭</w:t>
      </w:r>
      <w:r>
        <w:rPr/>
        <w:t>疾病检查/治疗，需要使用到下列材料：（需要使用打“√”）</w:t>
      </w:r>
    </w:p>
    <w:p/>
    <w:p>
      <w:r>
        <w:rPr/>
        <w:t xml:space="preserve">     专科使用材料：</w:t>
      </w:r>
    </w:p>
    <w:p/>
    <w:p>
      <w:r>
        <w:rPr>
          <w:b/>
        </w:rPr>
        <w:t>上述200元以上材料总价预计2000-5000元。</w:t>
      </w:r>
    </w:p>
    <w:p>
      <w:r>
        <w:rPr/>
        <w:t>说明：1、检查/治疗中使用上述相关材料或器械，并不意味着保证相应检查/治疗的成功。</w:t>
      </w:r>
    </w:p>
    <w:p>
      <w:r>
        <w:rPr/>
        <w:t xml:space="preserve">      2、根据《浙江省基本医疗保险医疗服务项目》中医用材料部分规定执行，纳入或者不纳入基本医疗保险支付范围。</w:t>
      </w:r>
    </w:p>
    <w:p>
      <w:r>
        <w:rPr>
          <w:sz w:val="22"/>
        </w:rPr>
        <w:t xml:space="preserve"> </w:t>
      </w:r>
      <w:r>
        <w:rPr/>
        <w:t xml:space="preserve">    3、同一种材料有多种不同的规格或型号，且根据相关规定，单价200元以上的可报销医用材料个人需先行自付比例为：国产产品3%、进口产品15%每一个个体都有很大的差异，操作过程中具体由医生把握。</w:t>
      </w:r>
    </w:p>
    <w:p>
      <w:r>
        <w:rPr/>
        <w:t xml:space="preserve">     4、医生已经充分告知且我们已经理解，经过慎重考虑，我们愿意承担相应的材料费用，并代表患者及家属全权负责签字。</w:t>
      </w:r>
    </w:p>
    <w:p>
      <w:r>
        <w:rPr/>
        <w:t>医师签名：</w:t>
      </w:r>
    </w:p>
    <w:p>
      <w:r>
        <w:rPr/>
        <w:t>签字时间：</w:t>
      </w:r>
      <w:r>
        <w:rPr>
          <w:b/>
          <w:sz w:val="24"/>
        </w:rPr>
        <w:t>2025年6月2日14时09分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