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手</w:t>
      </w:r>
      <w:r>
        <w:rPr/>
        <w:t xml:space="preserve">  </w:t>
      </w:r>
      <w:r>
        <w:rPr/>
        <w:t>术</w:t>
      </w:r>
      <w:r>
        <w:rPr/>
        <w:t xml:space="preserve">  </w:t>
      </w:r>
      <w:r>
        <w:rPr/>
        <w:t>记</w:t>
      </w:r>
      <w:r>
        <w:rPr/>
        <w:t xml:space="preserve">  </w:t>
      </w:r>
      <w:r>
        <w:rPr/>
        <w:t>录</w:t>
      </w:r>
      <w:r>
        <w:rPr/>
        <w:t xml:space="preserve">  </w:t>
      </w:r>
      <w:r>
        <w:rPr/>
        <w:t>单</w:t>
      </w:r>
    </w:p>
    <w:p/>
    <w:p/>
    <w:p>
      <w:r>
        <w:rPr>
          <w:b/>
        </w:rPr>
        <w:t>手术风险评估：</w:t>
      </w:r>
    </w:p>
    <w:p>
      <w:r>
        <w:rPr>
          <w:b/>
        </w:rPr>
        <w:t>手术切口清洁程度（ 0 分） + 麻醉ASA分级（ 1 分）+ 手术持续时间（ 0 分）=NNIS分级 1  分</w:t>
      </w:r>
    </w:p>
    <w:p>
      <w:r>
        <w:rPr>
          <w:b/>
        </w:rPr>
        <w:t>手术类别：1.浅层组织手术 浅层组织手术  2.深层组织手术 √ 3.器官手术 器官手术 4.空隙手术 空隙</w:t>
      </w:r>
    </w:p>
    <w:p>
      <w:r>
        <w:rPr>
          <w:b/>
        </w:rPr>
        <w:t>手术标本：</w:t>
      </w:r>
      <w:r>
        <w:rPr/>
        <w:t>术中送检</w:t>
      </w:r>
      <w:r>
        <w:rPr/>
        <w:t>■ 无 □ 有 冰冻切片结果：基本输入框   术后病理■ 无 □  有</w:t>
      </w:r>
    </w:p>
    <w:p>
      <w:r>
        <w:rPr>
          <w:b/>
        </w:rPr>
        <w:t>术中并发症：</w:t>
      </w:r>
      <w:r>
        <w:rPr/>
        <w:t xml:space="preserve">■  无  □     </w:t>
      </w:r>
      <w:r>
        <w:rPr>
          <w:b/>
        </w:rPr>
        <w:t>术中失血量</w:t>
      </w:r>
      <w:r>
        <w:rPr/>
        <w:t>：约2 ml</w:t>
      </w:r>
    </w:p>
    <w:p>
      <w:r>
        <w:rPr>
          <w:b/>
        </w:rPr>
        <w:t>手术经过:</w:t>
      </w:r>
      <w:r>
        <w:rPr/>
        <w:t xml:space="preserve">患者取平卧位，头左偏，右颈部常规消毒铺巾，超声引导定位后2%利多卡因局麻，以7号针超声引导下穿刺颈内静脉成功后，置入导引钢丝。在距离穿刺点外侧约6cm锁骨下方1cm处予2％利多卡因局麻，切开约1.5cm切口，逐层切开皮肤和皮下组织，予血管钳钝性分离，在局麻下行皮肤和皮下组织探查，未见明显出血，避开皮下动脉及颈外静脉稍向上向穿刺点方向做一圆弧形皮下隧道，将带袖套双腔导管从隧道引出，沿导引钢丝依次进细、粗扩张管扩张皮下，将带袖套双腔导管经导丝置入颈内静脉，调整长期导管位置，使导管动、静脉端血流通畅，术中摄片提示导管尖端位于上腔静脉与右心房交界体表投影处，肝素封导管双腔，缝合切口，固定带袖套导管隧道口，局部加压包扎。置管过程顺利，病人无不良反应。   </w:t>
      </w:r>
    </w:p>
    <w:p>
      <w:r>
        <w:rPr>
          <w:b/>
        </w:rPr>
        <w:t>主刀医师签名：</w:t>
      </w:r>
      <w:r>
        <w:rPr>
          <w:sz w:val="24"/>
        </w:rPr>
        <w:t>医生签名</w:t>
      </w:r>
    </w:p>
    <w:p>
      <w:r>
        <w:rPr>
          <w:b/>
        </w:rPr>
        <w:t>记录时间：2025年6月3日13时23分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