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2025-06-07</w:t>
      </w:r>
      <w:r>
        <w:rPr/>
        <w:t>，</w:t>
      </w:r>
      <w:r>
        <w:rPr/>
        <w:t xml:space="preserve">13:39 </w:t>
      </w:r>
      <w:r>
        <w:rPr/>
        <w:t>吴龙龙主治医师兼术后主刀医师查房记录</w:t>
      </w:r>
    </w:p>
    <w:p>
      <w:r>
        <w:rPr/>
        <w:t xml:space="preserve">    发热神志清，精神软，双侧瞳孔等大等圆，直径约3mm，对光反射灵敏，巩膜无黄染，结膜无苍白，右颈部血透管固定妥，全身浅表淋巴结未触及肿大，颈软，气管居中，无颈静脉怒张，双肺呼吸音清，双肺未闻及干湿啰音，心音齐，心律齐，未闻及病理性杂音，腹软，无压痛及反跳痛，肠鸣音正常，肝脾肋下未触及，墨菲征阴性，双肾区叩痛阴性，双下肢无水肿，四肢肌力可，肌张力无增减，babinski征双侧阴性。辅助检查无新增1.慢性肾脏病5期 心力衰竭 2.2型糖尿病 糖尿病伴周围神经病变 3.高血压3级，很高危 4.肺部感染 5.子宫肌瘤术后 6.肿瘤标记物升高 7.甲状腺结节（4a类） 8.双下肢动脉硬化伴多发斑块形成 9.双侧颈动脉硬化伴多发斑块形成今吴龙龙主治医师兼术后主刀医师查房示：患者昨日行为肾透析的动静脉造瘘术，过程顺利，患者仍有发热，继续当前哌拉西林抗感染治疗，患者终末期肾病现已开始血透，现无胸闷气急，监测肌钙蛋白升高趋势，予邀请心内科会诊，余治疗同前，续观。         </w:t>
      </w:r>
    </w:p>
    <w:p>
      <w:r>
        <w:rPr/>
        <w:t xml:space="preserve">                            </w:t>
      </w:r>
    </w:p>
    <w:p/>
    <w:p>
      <w:r>
        <w:rPr/>
        <w:t>2025年6月7日13时40分</w:t>
      </w:r>
    </w:p>
    <w:p/>
    <w:p>
      <w:r>
        <w:rPr/>
        <w:t>上级医师签名</w:t>
      </w:r>
    </w:p>
    <w:p>
      <w:r>
        <w:rPr/>
        <w:t>签名时间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