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2025-06-09</w:t>
      </w:r>
      <w:r>
        <w:rPr/>
        <w:t>，</w:t>
      </w:r>
      <w:r>
        <w:rPr/>
        <w:t xml:space="preserve">13:41 </w:t>
      </w:r>
      <w:r>
        <w:rPr/>
        <w:t>栗丽主治医师查房记录</w:t>
      </w:r>
    </w:p>
    <w:p>
      <w:r>
        <w:rPr/>
        <w:t xml:space="preserve">    无新增不适神志清，精神软，双侧瞳孔等大等圆，直径约3mm，对光反射灵敏，巩膜无黄染，结膜无苍白，右颈部血透管固定妥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辅助检查无新增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9.双侧颈动脉硬化伴多发斑块形成今栗丽主治医师查房示：患者终末期肾病现已开始血透，现无胸闷气急，监测肌钙蛋白升高趋势，拟择日完善冠脉CTA检查排查冠心病，余治疗同前，续观。</w:t>
      </w:r>
    </w:p>
    <w:p/>
    <w:p/>
    <w:p>
      <w:r>
        <w:rPr/>
        <w:t>2025年6月9日13时52分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