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2025-06-12</w:t>
      </w:r>
      <w:r>
        <w:rPr/>
        <w:t>，</w:t>
      </w:r>
      <w:r>
        <w:rPr/>
        <w:t xml:space="preserve">10:22 </w:t>
      </w:r>
      <w:r>
        <w:rPr/>
        <w:t>栗丽主治医师查房记录</w:t>
      </w:r>
    </w:p>
    <w:p>
      <w:r>
        <w:rPr/>
        <w:t xml:space="preserve">    无明显胸闷胸痛、咳血等不适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-11 12:10)（血透）血气分析+乳酸+血糖（首诊）（静脉血）(急诊和夜间病房检验)：血液酸碱度 7.436，二氧化碳分压 40.6mmHg，校正氧分压 32.7mmHg↓，全血乳酸 0.4mmol/L↓，血红蛋白浓度 90g/L↓，红细胞压积 27.7%↓；(2025-06-12 08:59)行下腔静脉彩超检查检查提示：1. 下腔静脉超声未见明显异常；2. 双下肢动脉硬化伴多发斑块形成；3. 左下肢肌间静脉血栓形成。1.慢性肾脏病5期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栗丽主治医师查房示：患者胸闷气促入院，考虑慢性肾病V期已血透，既往高血压、糖尿病。冠脉CTA考虑左前降支中重度狭窄，远端细小，建议完善冠脉造影。如患者有手术意愿可联系心内科科住院总安排手术谈话和计划，续观。 </w:t>
      </w:r>
    </w:p>
    <w:p/>
    <w:p/>
    <w:p>
      <w:r>
        <w:rPr/>
        <w:t>2025年6月12日10时23分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